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0" w:line="247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t xml:space="preserve">Важные изменения в ЕГРН: новые правила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line="247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t xml:space="preserve"> для членов семьи собственников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1" w:after="0" w:line="247" w:lineRule="auto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t xml:space="preserve">С 01.09.2025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Единый государственный реестр недвижимости будут вноситься сведения о членах семьи (бывших членах семьи) собственника квартиры, имеющих право на проживание в ней.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1" w:after="0" w:line="247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Изменения направлены на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обеспечение максимальной прозрачности информации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о правах всех третьих лиц на такое жилое помещение, защиту как самих проживающих лиц, так и покупателей таких жилых помещений.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beforeAutospacing="1" w:line="247" w:lineRule="auto"/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outlineLvl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В ЕГРН будут указываться сведения о членах семьи (в том числе бывших) собственника жилого помещения, право собственности на которое возникло в результате приватизации либо в связи с полной выплатой паевого взноса членом жилищно-строительного кооператива. К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ним будут относиться только лица, которые пользуются жилым помещением и имели в момент приватизации равные права пользования им с лицом, его приватизировавшим, либо которые в момент полной выплаты паевого взноса были указаны в ордере либо были вселены в ж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илое помещение в качестве членов семьи собственника.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Autospacing="1" w:line="247" w:lineRule="auto"/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outlineLvl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Сведения о членах семьи (в том числе бывших) собственника жилого помещения будут вноситься в ЕГРН на основании заявления как самого владельца жилья, так и членов его семьи (в том 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числе бывших) или на основании решения суда. Соответствующая информация будет отражаться в выписке из ЕГРН.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/>
    </w:p>
    <w:p>
      <w:pPr>
        <w:ind w:left="0" w:right="0" w:firstLine="567"/>
        <w:jc w:val="both"/>
        <w:spacing w:beforeAutospacing="1" w:line="247" w:lineRule="auto"/>
        <w:rPr>
          <w:rFonts w:ascii="Liberation Serif" w:hAnsi="Liberation Serif" w:cs="Liberation Serif"/>
          <w:color w:val="000000" w:themeColor="text1"/>
          <w:sz w:val="28"/>
          <w:szCs w:val="28"/>
        </w:rPr>
        <w:outlineLvl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Сведения исключаются из ЕГРН на основании заявлений собственника (собственников) жилого помещения и лица, в отношении которого такие сведения внесены в ЕГРН, а также на основании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 решения суда.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Autospacing="1" w:line="247" w:lineRule="auto"/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  <w:t xml:space="preserve">Законом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предусмотрена необходимость получения нотариально удостоверенного согласия этих лиц на передачу в ипотеку жилого помещения, право собственности на которое возникло в результате приватизации или в связи с полной выплатой паевого взноса в ЖК (ЖСК).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Autospacing="1" w:line="247" w:lineRule="auto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i/>
          <w:color w:val="000000" w:themeColor="text1"/>
          <w:sz w:val="28"/>
          <w:szCs w:val="28"/>
        </w:rPr>
        <w:t xml:space="preserve">«</w:t>
      </w:r>
      <w:r>
        <w:rPr>
          <w:rFonts w:ascii="Liberation Serif" w:hAnsi="Liberation Serif" w:eastAsia="Liberation Serif" w:cs="Liberation Serif"/>
          <w:i/>
          <w:color w:val="000000" w:themeColor="text1"/>
          <w:sz w:val="28"/>
          <w:szCs w:val="28"/>
        </w:rPr>
        <w:t xml:space="preserve">Нововведения позволят покупателям жилья своевременно получать информацию о лицах, которые не прописаны в квартире и не являются её собственниками, но в силу положений законодательства сохраняющих право проживания в ней после продажи. Это </w:t>
      </w:r>
      <w:r>
        <w:rPr>
          <w:rFonts w:ascii="Liberation Serif" w:hAnsi="Liberation Serif" w:eastAsia="Liberation Serif" w:cs="Liberation Serif"/>
          <w:i/>
          <w:iCs/>
          <w:color w:val="000000"/>
          <w:sz w:val="28"/>
          <w:szCs w:val="28"/>
          <w:highlight w:val="white"/>
        </w:rPr>
        <w:t xml:space="preserve">позволит сделать сделки с недвижимостью более прозрачными, безопасными и понятными</w:t>
      </w:r>
      <w:r>
        <w:rPr>
          <w:rFonts w:ascii="Liberation Serif" w:hAnsi="Liberation Serif" w:eastAsia="Liberation Serif" w:cs="Liberation Serif"/>
          <w:i/>
          <w:color w:val="000000" w:themeColor="text1"/>
          <w:sz w:val="28"/>
          <w:szCs w:val="28"/>
        </w:rPr>
        <w:t xml:space="preserve">», – сообщила руководитель Управления</w:t>
      </w:r>
      <w:r>
        <w:rPr>
          <w:rFonts w:ascii="Liberation Serif" w:hAnsi="Liberation Serif" w:eastAsia="Liberation Serif" w:cs="Liberation Serif"/>
          <w:i/>
          <w:color w:val="000000" w:themeColor="text1"/>
          <w:sz w:val="28"/>
          <w:szCs w:val="28"/>
        </w:rPr>
        <w:t xml:space="preserve"> Росреестра по Ивановской области Наталья Ведерникова.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/>
      <w:r/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2025-07-22T07:25:19Z</dcterms:modified>
</cp:coreProperties>
</file>