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Как правообладатель объекта недвижимости может повлиять на определение кадастровой стоимости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14:ligatures w14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В соответст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вии с решением Департамента управления имуществом Ивановской области от 04.02.2025 № 17 в 2026 году на территории Ивановской области будет проведена государственная кадастровая оценка земельных участков. Масштаб мероприятия значителен: предстоит определить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кадастровую стоимость свыше 450 тысяч земельных участков.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На этапе подготовки сведений для проведения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и до утверждения результатов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государственной кадастровой оценки собственник объекта недвижимости может реализовать свои права активно принимая участие в ее проведении.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Собств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енник объекта недвижимости 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меет возможность направить в ГБУ Ивановской области «Центр кадастровой оценки» (далее – ГБУ) декларацию о характеристиках объекта недвижимости, влияющих на его реальную рыночную стоимость с приложением подтверждающих документов.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Подача Деклараций осуществляется: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42"/>
        <w:numPr>
          <w:ilvl w:val="0"/>
          <w:numId w:val="3"/>
        </w:numPr>
        <w:ind w:left="0" w:right="0" w:firstLine="567"/>
        <w:jc w:val="both"/>
        <w:spacing w:after="0" w:afterAutospacing="0" w:line="240" w:lineRule="auto"/>
        <w:tabs>
          <w:tab w:val="left" w:pos="850" w:leader="none"/>
        </w:tabs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форме электронного документа, заверенного квалифицированной электронной подписью, на электронный адрес: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 </w:t>
      </w:r>
      <w:hyperlink r:id="rId9" w:tooltip="mailto:info@ko.spb.ru" w:history="1">
        <w:r>
          <w:rPr>
            <w:rFonts w:ascii="Liberation Serif" w:hAnsi="Liberation Serif" w:eastAsia="Liberation Serif" w:cs="Liberation Serif"/>
            <w:color w:val="000000"/>
            <w:sz w:val="28"/>
            <w:szCs w:val="28"/>
          </w:rPr>
          <w:t xml:space="preserve">cko@cko37.ru</w:t>
        </w:r>
        <w:r>
          <w:rPr>
            <w:rFonts w:ascii="Liberation Serif" w:hAnsi="Liberation Serif" w:eastAsia="Liberation Serif" w:cs="Liberation Serif"/>
            <w:color w:val="000000"/>
            <w:sz w:val="28"/>
            <w:szCs w:val="28"/>
          </w:rPr>
        </w:r>
      </w:hyperlink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42"/>
        <w:numPr>
          <w:ilvl w:val="0"/>
          <w:numId w:val="3"/>
        </w:numPr>
        <w:ind w:left="0" w:right="0" w:firstLine="567"/>
        <w:jc w:val="both"/>
        <w:spacing w:after="0" w:afterAutospacing="0" w:line="240" w:lineRule="auto"/>
        <w:tabs>
          <w:tab w:val="left" w:pos="85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почтовым отправлением в адрес ГБУ: 153012,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город Иваново, улица Суворова, дом 44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  <w14:ligatures w14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  <w14:ligatures w14:val="none"/>
        </w:rPr>
      </w:r>
    </w:p>
    <w:p>
      <w:pPr>
        <w:pStyle w:val="842"/>
        <w:numPr>
          <w:ilvl w:val="0"/>
          <w:numId w:val="3"/>
        </w:numPr>
        <w:ind w:left="0" w:right="0" w:firstLine="567"/>
        <w:jc w:val="both"/>
        <w:spacing w:after="0" w:afterAutospacing="0" w:line="240" w:lineRule="auto"/>
        <w:tabs>
          <w:tab w:val="left" w:pos="850" w:leader="none"/>
        </w:tabs>
        <w:rPr>
          <w:rFonts w:ascii="Liberation Serif" w:hAnsi="Liberation Serif" w:cs="Liberation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при личном обращении.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  <w14:ligatures w14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Декларация рассматривается в течение 30 рабочих дней со дня ее представления.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  <w14:ligatures w14:val="none"/>
        </w:rPr>
        <w:t xml:space="preserve">После утверждения результатов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  <w14:ligatures w14:val="none"/>
        </w:rPr>
        <w:t xml:space="preserve">государственной кадастровой оценки и внесения сведений в Единый государственный реестр недвижимости собственник имеет возможность подать соответствующее заявление для пересмотра кадастровой стоимости, которое будет рассмотрено в установленный законом срок.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  <w14:ligatures w14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Также законодательством предусмотрен механизм установления рыночной стоимости объекта недвижимости. Собственник может обратиться в комиссию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 рассмотрению споров о результатах определения кадастровой стоимости, созданной при ГБУ.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 заявлению приложить: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2"/>
        <w:numPr>
          <w:ilvl w:val="0"/>
          <w:numId w:val="2"/>
        </w:numPr>
        <w:ind w:left="0" w:right="0" w:firstLine="425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выписку из ЕГРН о кадастровой стоимости объекта недвижимости, в которой указана оспариваемая стоимость;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42"/>
        <w:numPr>
          <w:ilvl w:val="0"/>
          <w:numId w:val="1"/>
        </w:numPr>
        <w:ind w:left="0" w:right="0" w:firstLine="425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копию правоустанавливающего или правоудостоверяющего документа на объект недвижимости, если заявление об оспаривании подается лицом, обладающим правом на объект недвижимости;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42"/>
        <w:numPr>
          <w:ilvl w:val="0"/>
          <w:numId w:val="1"/>
        </w:numPr>
        <w:ind w:left="0" w:right="0" w:firstLine="425"/>
        <w:jc w:val="both"/>
        <w:spacing w:after="0" w:afterAutospacing="0" w:line="240" w:lineRule="auto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отчет об оценке рыночной стоимости, составленный на бумажном носителе и на электронном носителе в форме электронного документа.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  <w:r>
        <w:rPr>
          <w:rFonts w:ascii="Roboto" w:hAnsi="Roboto" w:eastAsia="Roboto" w:cs="Roboto"/>
          <w:color w:val="000000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info@ko.sp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10</cp:revision>
  <dcterms:modified xsi:type="dcterms:W3CDTF">2025-11-25T09:23:34Z</dcterms:modified>
</cp:coreProperties>
</file>