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spacing w:lineRule="auto" w:line="259" w:before="0" w:after="160"/>
        <w:ind w:left="0" w:right="0" w:hanging="0"/>
        <w:contextualSpacing/>
        <w:jc w:val="center"/>
        <w:rPr>
          <w:rFonts w:ascii="Liberation Serif" w:hAnsi="Liberation Serif" w:cs="Liberation Serif"/>
          <w:b/>
          <w:bCs/>
          <w:i/>
          <w:i/>
          <w:iCs/>
          <w:color w:val="000000"/>
          <w:sz w:val="26"/>
          <w:szCs w:val="26"/>
        </w:rPr>
      </w:pPr>
      <w:r>
        <w:rPr>
          <w:rFonts w:eastAsia="Liberation Serif" w:cs="Liberation Serif" w:ascii="Liberation Serif" w:hAnsi="Liberation Serif"/>
          <w:b/>
          <w:bCs/>
          <w:i/>
          <w:iCs/>
          <w:color w:val="000000"/>
          <w:sz w:val="26"/>
          <w:szCs w:val="26"/>
          <w:lang w:val="ru-RU" w:bidi="en-US"/>
        </w:rPr>
        <w:t>Пресс-конференция Росреестра</w:t>
      </w:r>
    </w:p>
    <w:p>
      <w:pPr>
        <w:pStyle w:val="ListParagraph"/>
        <w:spacing w:lineRule="auto" w:line="259" w:before="0" w:after="160"/>
        <w:ind w:left="720" w:right="0" w:hanging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Normal"/>
        <w:spacing w:lineRule="auto" w:line="259" w:before="0" w:after="160"/>
        <w:ind w:left="0" w:right="0" w:firstLine="567"/>
        <w:jc w:val="center"/>
        <w:rPr>
          <w:rFonts w:ascii="Liberation Serif" w:hAnsi="Liberation Serif" w:cs="Liberation Serif"/>
          <w:b/>
          <w:bCs/>
          <w:sz w:val="26"/>
          <w:szCs w:val="26"/>
          <w:highlight w:val="none"/>
          <w:u w:val="single"/>
          <w:shd w:fill="FFFFFF" w:val="clear"/>
        </w:rPr>
      </w:pPr>
      <w:r>
        <w:rPr>
          <w:rStyle w:val="Strong"/>
          <w:rFonts w:eastAsia="Liberation Serif" w:cs="Liberation Serif" w:ascii="Liberation Serif" w:hAnsi="Liberation Serif"/>
          <w:b/>
          <w:bCs/>
          <w:sz w:val="26"/>
          <w:szCs w:val="26"/>
          <w:u w:val="single"/>
          <w:shd w:fill="FFFFFF" w:val="clear"/>
          <w:lang w:val="ru-RU" w:bidi="ru-RU"/>
        </w:rPr>
        <w:t>Представители Управления Росреестра по Ивановской области ответили на актуальные вопросы в сфере земли и недвижимости</w:t>
      </w:r>
    </w:p>
    <w:p>
      <w:pPr>
        <w:pStyle w:val="Normal"/>
        <w:spacing w:lineRule="auto" w:line="259" w:before="0" w:after="160"/>
        <w:ind w:left="0" w:right="0" w:firstLine="567"/>
        <w:jc w:val="center"/>
        <w:rPr>
          <w:rFonts w:ascii="Liberation Serif" w:hAnsi="Liberation Serif" w:cs="Liberation Serif"/>
          <w:b/>
          <w:bCs/>
          <w:sz w:val="26"/>
          <w:szCs w:val="26"/>
          <w:u w:val="single"/>
        </w:rPr>
      </w:pPr>
      <w:r>
        <w:rPr>
          <w:rFonts w:cs="Liberation Serif" w:ascii="Liberation Serif" w:hAnsi="Liberation Serif"/>
          <w:b/>
          <w:bCs/>
          <w:sz w:val="26"/>
          <w:szCs w:val="26"/>
          <w:u w:val="single"/>
        </w:rPr>
      </w:r>
    </w:p>
    <w:p>
      <w:pPr>
        <w:pStyle w:val="Normal"/>
        <w:spacing w:lineRule="auto" w:line="259" w:before="0" w:after="160"/>
        <w:ind w:left="0" w:right="0" w:firstLine="567"/>
        <w:jc w:val="both"/>
        <w:rPr>
          <w:rFonts w:ascii="Liberation Serif" w:hAnsi="Liberation Serif" w:cs="Liberation Serif"/>
          <w:b/>
          <w:bCs/>
          <w:sz w:val="26"/>
          <w:szCs w:val="26"/>
          <w:highlight w:val="none"/>
          <w:u w:val="none"/>
        </w:rPr>
      </w:pPr>
      <w:r>
        <w:rPr>
          <w:rStyle w:val="Strong"/>
          <w:rFonts w:eastAsia="Liberation Serif" w:cs="Liberation Serif" w:ascii="Liberation Serif" w:hAnsi="Liberation Serif"/>
          <w:b/>
          <w:bCs/>
          <w:sz w:val="26"/>
          <w:szCs w:val="26"/>
          <w:u w:val="none"/>
          <w:shd w:fill="FFFFFF" w:val="clear"/>
          <w:lang w:val="ru-RU" w:bidi="ru-RU"/>
        </w:rPr>
        <w:t>Заместитель руководителя Управления Росреестра по Ивановской области Ольга Смирнова рассказала об изменениях в законодательстве, которые вступили в силу с 1 марта 2025 года.</w:t>
      </w:r>
    </w:p>
    <w:p>
      <w:pPr>
        <w:pStyle w:val="Style10"/>
        <w:shd w:val="clear" w:color="FFFFFF" w:fill="FFFFFF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С 1 марта 2025 года регистрационные действия в отношении земельного участка, </w:t>
      </w: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являющегося предметом договора,</w:t>
      </w: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не смогут быть выполнены, если в Едином государственном реестре недвижимости (ЕГРН) отсутствуют сведения о местоположении его границ. Также нельзя будет поставить на кадастровый учёт или оформить права на </w:t>
      </w:r>
      <w:r>
        <w:rPr>
          <w:rFonts w:eastAsia="Liberation Serif" w:cs="Liberation Serif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любые здания и сооружения (как уже возведенные, так и недостроенные)</w:t>
      </w: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, расположенные на земельном участке без учтённых границ.</w:t>
      </w:r>
    </w:p>
    <w:p>
      <w:pPr>
        <w:pStyle w:val="Style10"/>
        <w:shd w:val="clear" w:color="FFFFFF" w:fill="FFFFFF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ab/>
        <w:t>Применение новых положений не зависит ни от категории земельного участка, ни от вида его разрешённого использования.</w:t>
      </w:r>
    </w:p>
    <w:p>
      <w:pPr>
        <w:pStyle w:val="Style10"/>
        <w:shd w:val="clear" w:color="FFFFFF" w:fill="FFFFFF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 xml:space="preserve"> </w:t>
      </w:r>
      <w:r>
        <w:rPr>
          <w:rFonts w:eastAsia="Liberation Serif" w:cs="Liberation Serif" w:ascii="Liberation Serif" w:hAnsi="Liberation 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highlight w:val="white"/>
        </w:rPr>
        <w:t>Если государственный регистратор обнаружит, что в ЕГРН нет данных о границах земельных участков, он будет вынужден приостановить в отношении них учетно-регистрационные действия.</w:t>
      </w:r>
    </w:p>
    <w:p>
      <w:pPr>
        <w:pStyle w:val="Style10"/>
        <w:widowControl/>
        <w:spacing w:lineRule="atLeast" w:line="270" w:before="0" w:after="0"/>
        <w:ind w:left="0" w:right="0" w:hanging="0"/>
        <w:jc w:val="both"/>
        <w:rPr>
          <w:rFonts w:ascii="Liberation Serif" w:hAnsi="Liberation Serif" w:cs="Liberation Serif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eastAsia="Liberation Serif" w:cs="Liberation Serif" w:ascii="Liberation Serif" w:hAnsi="Liberation Serif"/>
          <w:b w:val="false"/>
          <w:i w:val="false"/>
          <w:iCs w:val="false"/>
          <w:caps w:val="false"/>
          <w:smallCaps w:val="false"/>
          <w:color w:val="000000"/>
          <w:spacing w:val="0"/>
          <w:sz w:val="26"/>
          <w:szCs w:val="26"/>
        </w:rPr>
        <w:tab/>
      </w: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Это крайне важное нововведение, поскольку количество земельных участков, границы которых не установлены в соответствии с требованиями законодательства все еще велико.</w:t>
      </w:r>
    </w:p>
    <w:p>
      <w:pPr>
        <w:pStyle w:val="Style10"/>
        <w:widowControl/>
        <w:spacing w:lineRule="atLeast" w:line="270" w:before="0" w:after="0"/>
        <w:ind w:left="0" w:right="0" w:hang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Закон обеспечивает гарантии прав новых правообладателей земельных участков, защищает их от возможных проблем с определением местоположения границ и от несанкционированного занятия участков.</w:t>
      </w:r>
    </w:p>
    <w:p>
      <w:pPr>
        <w:pStyle w:val="Style10"/>
        <w:widowControl/>
        <w:spacing w:lineRule="atLeast" w:line="270" w:before="0" w:after="0"/>
        <w:ind w:left="0" w:right="0" w:hang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Для внесения в ЕГРН сведений о границах земельного участка правообладатель участка предоставляет в орган регистрации прав заявление об осуществлении государственного кадастрового учета и межевой план, подготовленный кадастровым инженером.</w:t>
      </w:r>
    </w:p>
    <w:p>
      <w:pPr>
        <w:pStyle w:val="Style10"/>
        <w:widowControl/>
        <w:spacing w:lineRule="atLeast" w:line="270" w:before="0" w:after="0"/>
        <w:ind w:left="0" w:right="0" w:hanging="0"/>
        <w:jc w:val="both"/>
        <w:rPr>
          <w:rFonts w:ascii="Liberation Serif" w:hAnsi="Liberation Serif" w:cs="Liberation Serif"/>
          <w:b w:val="false"/>
          <w:i w:val="false"/>
          <w:i w:val="false"/>
          <w:caps w:val="false"/>
          <w:smallCaps w:val="false"/>
          <w:spacing w:val="0"/>
        </w:rPr>
      </w:pPr>
      <w:r>
        <w:rPr>
          <w:rFonts w:cs="Liberation Serif" w:ascii="Liberation Serif" w:hAnsi="Liberation Serif"/>
          <w:b w:val="false"/>
          <w:i w:val="false"/>
          <w:caps w:val="false"/>
          <w:smallCaps w:val="false"/>
          <w:spacing w:val="0"/>
        </w:rPr>
      </w:r>
    </w:p>
    <w:p>
      <w:pPr>
        <w:pStyle w:val="ListParagraph"/>
        <w:numPr>
          <w:ilvl w:val="0"/>
          <w:numId w:val="1"/>
        </w:numPr>
        <w:shd w:val="clear" w:color="FFFFFF" w:fill="FFFFFF"/>
        <w:ind w:left="0"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/>
          <w:bCs/>
          <w:color w:val="000000"/>
          <w:sz w:val="26"/>
          <w:szCs w:val="26"/>
          <w:shd w:fill="FFFFFF" w:val="clear"/>
          <w:lang w:val="ru-RU" w:bidi="ru-RU"/>
        </w:rPr>
        <w:t>Ольга Николаевна, каким образом можно проверить, внесены ли границы в ЕГРН?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 w:bidi="ru-RU"/>
        </w:rPr>
        <w:tab/>
        <w:t>Для того, чтобы убедиться, что границы вашего участка (или участка, который вы планируете приобрести) внесены в ЕГРН, можно: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 w:bidi="ru-RU"/>
        </w:rPr>
        <w:tab/>
        <w:t xml:space="preserve">- </w:t>
      </w:r>
      <w:r>
        <w:rPr>
          <w:rStyle w:val="Strong"/>
          <w:rFonts w:eastAsia="Liberation Serif" w:cs="Liberation Serif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ru-RU" w:bidi="ru-RU"/>
        </w:rPr>
        <w:t>в</w:t>
      </w:r>
      <w:r>
        <w:rPr>
          <w:rStyle w:val="Strong"/>
          <w:rFonts w:eastAsia="Liberation Serif" w:cs="Liberation Serif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 w:bidi="ru-RU"/>
        </w:rPr>
        <w:t>оспользоваться</w:t>
      </w:r>
      <w:r>
        <w:rPr>
          <w:rStyle w:val="Strong"/>
          <w:rFonts w:eastAsia="Liberation Serif" w:cs="Liberation Serif" w:ascii="Liberation Serif" w:hAnsi="Liberation Serif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 w:bidi="ru-RU"/>
        </w:rPr>
        <w:t xml:space="preserve"> </w:t>
      </w:r>
      <w:r>
        <w:rPr>
          <w:rStyle w:val="Strong"/>
          <w:rFonts w:eastAsia="Liberation Serif" w:cs="Liberation Serif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ru-RU" w:eastAsia="ru-RU" w:bidi="ru-RU"/>
        </w:rPr>
        <w:t>Федеральной государственной информационной системой «Единая цифровая платформа «Национальная система пространственных данных» (https://nspd.gov.ru) (НСПД);</w:t>
      </w:r>
    </w:p>
    <w:p>
      <w:pPr>
        <w:pStyle w:val="NormalWeb"/>
        <w:spacing w:lineRule="auto" w:line="240" w:before="0" w:after="0"/>
        <w:ind w:left="0" w:right="0" w:hanging="0"/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Style w:val="Strong"/>
          <w:rFonts w:eastAsia="Liberation Serif" w:cs="Liberation Serif" w:ascii="Liberation Serif" w:hAnsi="Liberation Serif"/>
          <w:b w:val="false"/>
          <w:bCs/>
          <w:i w:val="false"/>
          <w:caps w:val="false"/>
          <w:smallCaps w:val="false"/>
          <w:color w:val="2C2D2E"/>
          <w:spacing w:val="0"/>
          <w:sz w:val="26"/>
          <w:szCs w:val="26"/>
          <w:shd w:fill="auto" w:val="clear"/>
          <w:lang w:val="ru-RU" w:eastAsia="ru-RU" w:bidi="ru-RU"/>
        </w:rPr>
        <w:tab/>
        <w:t>- з</w:t>
      </w:r>
      <w:r>
        <w:rPr>
          <w:rStyle w:val="Strong"/>
          <w:rFonts w:eastAsia="Liberation Serif" w:cs="Liberation Serif" w:ascii="Liberation Serif" w:hAnsi="Liberation Serif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ru-RU" w:eastAsia="ru-RU" w:bidi="ru-RU"/>
        </w:rPr>
        <w:t>аказать выписку из ЕГРН на портале «Госуслуг» или в МФЦ. Выписку можно получить как в электронном, так и в бумажном варианте.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firstLine="567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eastAsia="Liberation Serif" w:cs="Liberation Serif" w:ascii="Liberation Serif" w:hAnsi="Liberation Serif"/>
          <w:b/>
          <w:bCs/>
          <w:color w:val="000000"/>
          <w:sz w:val="26"/>
          <w:szCs w:val="26"/>
          <w:highlight w:val="white"/>
        </w:rPr>
        <w:t xml:space="preserve">- С 1 января 2025 года </w:t>
      </w:r>
      <w:r>
        <w:rPr>
          <w:rStyle w:val="Strong"/>
          <w:rFonts w:eastAsia="Liberation Serif" w:cs="Liberation Serif" w:ascii="Liberation Serif" w:hAnsi="Liberation Serif"/>
          <w:color w:val="000000"/>
          <w:sz w:val="26"/>
          <w:szCs w:val="26"/>
          <w:highlight w:val="white"/>
        </w:rPr>
        <w:t>юридические лица обязаны подавать документы в орган регистрации только в электронном виде. Подробнее об этом расскажет начальник отдела правового  обеспечения, по контролю (надзору) в сфере СРО Ольга Кашина.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  <w:highlight w:val="white"/>
        </w:rPr>
        <w:tab/>
        <w:t>Согласно новым правилам, с 1 марта 2025 года юридические лица должны подавать заявления на государственный кадастровый учёт и регистрацию прав с прилагаемыми к ним документами исключительно в электронном форме. Это избавит от необходимости оформления документов на бумажном носителе и ускорит процесс получения государственных услуг в сфере недвижимости. 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  <w:highlight w:val="white"/>
        </w:rPr>
        <w:tab/>
        <w:t>Бумажные документы будут возвращаться заявителям без рассмотрения.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  <w:highlight w:val="white"/>
        </w:rPr>
        <w:tab/>
        <w:t>Исключением являются случаи: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  <w:highlight w:val="white"/>
        </w:rPr>
        <w:tab/>
        <w:t>-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строительстве):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  <w:highlight w:val="white"/>
        </w:rPr>
        <w:tab/>
        <w:t>- к</w:t>
      </w: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рестьянские (фермерские) хозяйства, явля</w:t>
      </w:r>
      <w:r>
        <w:rPr>
          <w:rFonts w:eastAsia="Liberation Serif" w:cs="Liberation Serif" w:ascii="Liberation Serif" w:hAnsi="Liberation Serif"/>
          <w:color w:val="000000"/>
          <w:sz w:val="26"/>
          <w:szCs w:val="26"/>
        </w:rPr>
        <w:t>ющиеся юридическими лицами, а также садоводческие и огороднические некоммерческие товарищества, гаражные кооперативы, жилищные и жилищно-строительные кооперативы, товарищества собственников жилья, которые вправе вправе направлять заявления на кадастровый учет и регистрацию прав в форме документа на бумажном носит</w:t>
      </w: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 xml:space="preserve">еле </w:t>
      </w: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до 1 января 2026 года.</w:t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b w:val="false"/>
          <w:bCs w:val="false"/>
          <w:color w:val="000000"/>
          <w:sz w:val="28"/>
          <w:szCs w:val="28"/>
        </w:rPr>
      </w:pPr>
      <w:r>
        <w:rPr>
          <w:rFonts w:cs="Liberation Serif" w:ascii="Liberation Serif" w:hAnsi="Liberation Serif"/>
          <w:b w:val="false"/>
          <w:bCs w:val="false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ab/>
        <w:t>-</w:t>
      </w:r>
      <w:r>
        <w:rPr>
          <w:rStyle w:val="Strong"/>
          <w:rFonts w:eastAsia="Liberation Serif" w:cs="Liberation Serif" w:ascii="Liberation Serif" w:hAnsi="Liberation Serif"/>
          <w:b/>
          <w:bCs/>
          <w:color w:val="000000"/>
          <w:sz w:val="26"/>
          <w:szCs w:val="26"/>
        </w:rPr>
        <w:t xml:space="preserve"> Ольга Павловна, Вы упомянули о договорах долевого участия, в отношении них тоже произошли изменения с 1 марта 2025 года?</w:t>
      </w:r>
    </w:p>
    <w:p>
      <w:pPr>
        <w:pStyle w:val="Normal"/>
        <w:ind w:left="0" w:righ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Strong"/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ab/>
        <w:t>Да, теперь д</w:t>
      </w:r>
      <w:r>
        <w:rPr>
          <w:rFonts w:eastAsia="Liberation Serif" w:cs="Liberation Serif" w:ascii="Liberation Serif" w:hAnsi="Liberation Serif"/>
          <w:sz w:val="26"/>
          <w:szCs w:val="26"/>
        </w:rPr>
        <w:t>оговоры участия в долевом строительстве предоставляются  застройщиком на государственную регистрацию только в форме электронных документов. При этом подписанный сторонами договор  и впоследствии отсканированный не является электронным документом. Электронный документ должен быть подписан УКЭП сторон.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sz w:val="26"/>
          <w:szCs w:val="26"/>
        </w:rPr>
        <w:t>Закон также обязал застройщиков после подписания передаточного акта самостоятельно направлять в Росреестр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  <w:br/>
        <w:t>После завершения процедуры регистрации застройщик должен передать участнику долевого строительства выписку из ЕГРН.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sz w:val="26"/>
          <w:szCs w:val="26"/>
        </w:rPr>
        <w:t>Таким образом, электронный формат взаимодействия застройщиков с регистрирующим органом теперь обязателен.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sz w:val="26"/>
          <w:szCs w:val="26"/>
        </w:rPr>
        <w:t>Это избавит граждан от лишних временных и трудовых затрат.</w:t>
      </w:r>
    </w:p>
    <w:p>
      <w:pPr>
        <w:pStyle w:val="Style10"/>
        <w:spacing w:before="0" w:after="0"/>
        <w:jc w:val="both"/>
        <w:rPr>
          <w:rFonts w:ascii="Liberation Serif" w:hAnsi="Liberation Serif" w:cs="Liberation Serif"/>
          <w:color w:val="000000"/>
        </w:rPr>
      </w:pPr>
      <w:r>
        <w:rPr>
          <w:rFonts w:eastAsia="Liberation Serif" w:cs="Liberation Serif" w:ascii="Liberation Serif" w:hAnsi="Liberation Serif"/>
          <w:b/>
          <w:bCs/>
          <w:color w:val="000000"/>
          <w:sz w:val="26"/>
          <w:szCs w:val="26"/>
        </w:rPr>
        <w:t xml:space="preserve">- Какие либо изменения касаются ранее учтенных объектов недвижимости? </w:t>
      </w:r>
    </w:p>
    <w:p>
      <w:pPr>
        <w:pStyle w:val="Style10"/>
        <w:ind w:left="0" w:right="0" w:hang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Style10"/>
        <w:spacing w:before="0" w:after="0"/>
        <w:ind w:left="0" w:right="0" w:hanging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</w:rPr>
        <w:tab/>
        <w:t>Внесение в ЕГРН сведений о ранее учтенных объектах недвижимости с 1 марта 2025 года осуществляется на основании технического плана, в отношении земельных участков - на основании межевого плана. Ранее предоставление вышеуказанных документов не требовалось.</w:t>
      </w:r>
    </w:p>
    <w:p>
      <w:pPr>
        <w:pStyle w:val="Style10"/>
        <w:spacing w:before="0" w:after="0"/>
        <w:ind w:left="0" w:right="0" w:hanging="0"/>
        <w:jc w:val="both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</w:rPr>
        <w:tab/>
        <w:t>Если не будут предоставлены технический план и межевой план, то регистрирующим органом будет отказано в учетно-регистрационных действиях.</w:t>
      </w:r>
    </w:p>
    <w:p>
      <w:pPr>
        <w:pStyle w:val="Style10"/>
        <w:spacing w:before="0" w:after="0"/>
        <w:ind w:left="0" w:right="0" w:hanging="0"/>
        <w:jc w:val="both"/>
        <w:rPr>
          <w:rFonts w:ascii="Liberation Serif" w:hAnsi="Liberation Serif" w:cs="Liberation Serif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color w:val="000000"/>
          <w:sz w:val="26"/>
          <w:szCs w:val="26"/>
        </w:rPr>
        <w:t xml:space="preserve"> </w:t>
      </w:r>
    </w:p>
    <w:p>
      <w:pPr>
        <w:pStyle w:val="Style10"/>
        <w:numPr>
          <w:ilvl w:val="0"/>
          <w:numId w:val="2"/>
        </w:numPr>
        <w:spacing w:before="0" w:after="0"/>
        <w:ind w:left="0" w:right="0" w:firstLine="567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/>
          <w:bCs/>
          <w:color w:val="000000"/>
          <w:sz w:val="26"/>
          <w:szCs w:val="26"/>
        </w:rPr>
        <w:t>И в завершении, жителей интересует вопрос о том, как можно обратиться в ваш орган? Например, необходимо что-то разъяснить или уточнить про свою недвижимость. Обязательно ли идти к вам на прием, в МФЦ и можно ли это сделать, не выходя из дома?</w:t>
      </w:r>
    </w:p>
    <w:p>
      <w:pPr>
        <w:pStyle w:val="Style10"/>
        <w:spacing w:before="0" w:after="0"/>
        <w:ind w:left="0" w:right="0" w:hanging="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</w:rPr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eastAsia="Liberation Serif" w:cs="Liberation Serif"/>
          <w:b/>
          <w:bCs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/>
          <w:bCs/>
          <w:color w:val="000000"/>
          <w:sz w:val="26"/>
          <w:szCs w:val="26"/>
        </w:rPr>
        <w:t>Отвечает заместитель руководителя Управления Росреестра по Ивановской области Наталья Черногорова.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  <w:highlight w:val="none"/>
        </w:rPr>
      </w:pPr>
      <w:r>
        <w:rPr>
          <w:rFonts w:cs="Liberation Serif" w:ascii="Liberation Serif" w:hAnsi="Liberation Serif"/>
          <w:b/>
          <w:bCs/>
          <w:color w:val="000000"/>
          <w:sz w:val="26"/>
          <w:szCs w:val="26"/>
        </w:rPr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Все действия государственных органов нацелены на то, чтобы предоставление государственных услуг перевести в электронный формат, который позволяет значительно сократить как время предоставления услуги, так и количество обращений в такие органы, в том числе исключает необходимость непосредственного посещения соответствующих организаций.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На официальном сайте Росреестра rosreestr.gov.ru  в закладке «Обратная связь», нажав на кнопку «Написать», можно задать интересующий вас вопрос.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Также, в настоящее время активно развивается Единый портал государственных услуг (ЕПГУ), в котором практически у каждого человека есть личный кабинет. В конце 2023 года на ЕПГУ внедрен сервис Платформа обратной связи (ПОС), в котором также по результатам полученной услуги и в случае возникновения вопроса можно оперативно его задать и в очень короткий срок получить на него ответ.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Благодаря активному использованию Платформы обратной связи в 2024 году от граждан в два раза увеличилось поступление сообщений в электронной форме. В Управление поступило более 1800 сообщений, на которые даны разъяснения.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Для оптимизации работы с заявителями, укрепления принципа клиентоцентричности в деятельности Управления, повышения уровня удовлетворенности граждан и юридических лиц в Управлении установлены сокращенные сроки рассмотрения таких сообщений – до 5 дней. А вопросы, касающиеся корректности отражения сведений об объектах недвижимости на портале Госуслуг, рассматриваются оперативно – в течение 3 дней.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  <w:highlight w:val="none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 xml:space="preserve">В большинстве случаях граждане высоко оценивают качество предоставленных ответов на сообщения/обращения от Управления. Средний балл равен 4,9 по 5-ти бальной шкале, в 2023 году - 4,72. </w:t>
      </w:r>
    </w:p>
    <w:p>
      <w:pPr>
        <w:pStyle w:val="Style10"/>
        <w:spacing w:before="0" w:after="0"/>
        <w:ind w:left="0" w:right="0" w:firstLine="567"/>
        <w:jc w:val="both"/>
        <w:rPr>
          <w:rFonts w:ascii="Liberation Serif" w:hAnsi="Liberation Serif" w:cs="Liberation Serif"/>
          <w:b w:val="false"/>
          <w:bCs w:val="false"/>
          <w:color w:val="000000"/>
          <w:sz w:val="26"/>
          <w:szCs w:val="26"/>
        </w:rPr>
      </w:pPr>
      <w:r>
        <w:rPr>
          <w:rFonts w:eastAsia="Liberation Serif" w:cs="Liberation Serif" w:ascii="Liberation Serif" w:hAnsi="Liberation Serif"/>
          <w:b w:val="false"/>
          <w:bCs w:val="false"/>
          <w:color w:val="000000"/>
          <w:sz w:val="26"/>
          <w:szCs w:val="26"/>
        </w:rPr>
        <w:t>Преимущества данной платформы очевидны: чтобы задать вопрос никуда не надо идти, ответ приходит за считанные дни, возникшие проблемы оперативно разрешаются. И мы уже получаем положительный отклик от людей!</w:t>
      </w:r>
    </w:p>
    <w:p>
      <w:pPr>
        <w:pStyle w:val="Normal"/>
        <w:ind w:firstLine="709"/>
        <w:jc w:val="both"/>
        <w:rPr>
          <w:rFonts w:ascii="Liberation Serif" w:hAnsi="Liberation Serif" w:cs="Liberation Serif"/>
          <w:sz w:val="26"/>
          <w:szCs w:val="26"/>
          <w:highlight w:val="none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Style w:val="Strong"/>
          <w:rFonts w:ascii="Tinos" w:hAnsi="Tinos"/>
          <w:b w:val="false"/>
          <w:bCs w:val="false"/>
          <w:color w:val="000000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0"/>
        </w:numPr>
        <w:shd w:val="clear" w:color="FFFFFF" w:fill="FFFFFF"/>
        <w:ind w:left="0" w:right="0" w:hanging="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</w:r>
    </w:p>
    <w:p>
      <w:pPr>
        <w:pStyle w:val="NormalWeb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inos">
    <w:charset w:val="01"/>
    <w:family w:val="roman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27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7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4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8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5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03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–"/>
      <w:lvlJc w:val="left"/>
      <w:pPr>
        <w:tabs>
          <w:tab w:val="num" w:pos="0"/>
        </w:tabs>
        <w:ind w:left="709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35"/>
    <w:qFormat/>
    <w:rPr>
      <w:b/>
      <w:bCs/>
      <w:color w:val="4F81BD" w:themeColor="accent1"/>
      <w:sz w:val="18"/>
      <w:szCs w:val="18"/>
    </w:rPr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 w:customStyle="1">
    <w:name w:val="Strong"/>
    <w:uiPriority w:val="22"/>
    <w:qFormat/>
    <w:rPr>
      <w:rFonts w:ascii="Times New Roman" w:hAnsi="Times New Roman" w:eastAsia="Times New Roman" w:cs="Times New Roman"/>
      <w:b/>
      <w:bCs/>
      <w:sz w:val="24"/>
      <w:szCs w:val="24"/>
      <w:lang w:val="ru-RU" w:bidi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 w:customStyle="1">
    <w:name w:val="Body Text"/>
    <w:basedOn w:val="ListParagraph"/>
    <w:pPr>
      <w:keepNext w:val="false"/>
      <w:keepLines w:val="false"/>
      <w:pageBreakBefore w:val="false"/>
      <w:widowControl/>
      <w:pBdr/>
      <w:shd w:val="nil" w:color="000000"/>
      <w:spacing w:lineRule="auto" w:line="276" w:beforeAutospacing="0" w:before="0" w:afterAutospacing="0" w:after="140"/>
      <w:ind w:left="0" w:right="0" w:hanging="0"/>
      <w:contextualSpacing w:val="false"/>
      <w:jc w:val="left"/>
    </w:pPr>
    <w:rPr>
      <w:rFonts w:ascii="Arial" w:hAnsi="Arial" w:eastAsia="Arial" w:cs="Arial" w:asciiTheme="minorHAnsi" w:cstheme="minorBidi" w:eastAsiaTheme="minorHAnsi" w:hAnsiTheme="minorHAns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2"/>
      <w:sz w:val="22"/>
      <w:szCs w:val="22"/>
      <w:u w:val="none"/>
      <w:vertAlign w:val="baseline"/>
      <w:lang w:val="ru-RU" w:eastAsia="en-US" w:bidi="ar-SA"/>
      <w14:ligatures w14:val="none"/>
    </w:rPr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FooterChar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FootnoteTextChar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rmalWeb" w:customStyle="1">
    <w:name w:val="Normal (Web)"/>
    <w:unhideWhenUsed/>
    <w:qFormat/>
    <w:pPr>
      <w:keepNext w:val="false"/>
      <w:keepLines w:val="false"/>
      <w:pageBreakBefore w:val="false"/>
      <w:widowControl/>
      <w:pBdr/>
      <w:shd w:val="nil" w:color="000000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ru-RU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61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618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4</Pages>
  <Words>910</Words>
  <Characters>6199</Characters>
  <CharactersWithSpaces>7098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2025-03-12T09:41:47Z</dcterms:modified>
  <cp:revision>2</cp:revision>
  <dc:subject/>
  <dc:title/>
</cp:coreProperties>
</file>