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nil" w:color="000000"/>
        <w:jc w:val="both"/>
        <w:rPr>
          <w:rFonts w:ascii="Tinos" w:hAnsi="Tinos" w:cs="Tinos"/>
          <w:b/>
          <w:bCs/>
          <w:sz w:val="28"/>
          <w:szCs w:val="28"/>
          <w14:ligatures w14:val="none"/>
        </w:rPr>
      </w:pPr>
      <w:r>
        <w:rPr>
          <w:rFonts w:eastAsia="Tinos" w:cs="Tinos" w:ascii="Tinos" w:hAnsi="Tinos"/>
          <w:b/>
          <w:bCs/>
          <w:sz w:val="28"/>
          <w:szCs w:val="28"/>
        </w:rPr>
        <w:t xml:space="preserve">Росреестр подвел итоги: как изменился рынок долевого строительства в Ивановской области?  </w:t>
      </w:r>
    </w:p>
    <w:p>
      <w:pPr>
        <w:pStyle w:val="Normal"/>
        <w:shd w:val="nil" w:color="000000"/>
        <w:jc w:val="both"/>
        <w:rPr>
          <w:rFonts w:ascii="Tinos" w:hAnsi="Tinos" w:cs="Tinos"/>
          <w:sz w:val="28"/>
          <w:szCs w:val="28"/>
          <w14:ligatures w14:val="none"/>
        </w:rPr>
      </w:pPr>
      <w:r>
        <w:rPr>
          <w:rFonts w:eastAsia="Tinos" w:cs="Tinos" w:ascii="Tinos" w:hAnsi="Tinos"/>
          <w:sz w:val="28"/>
          <w:szCs w:val="28"/>
        </w:rPr>
        <w:t xml:space="preserve">В Управлении Росреестра по Ивановской области проанализировали данные о регистрации договоров долевого участия в строительстве (ДДУ) за последние три года. Цифры показывают, что 2024 год стал переходным: зарегистрировано 2299 ДДУ, что на 38 % меньше, чем в рекордном 2023 году (3172), но на 20,7 % больше, чем в 2022 году (1821).  </w:t>
      </w:r>
    </w:p>
    <w:p>
      <w:pPr>
        <w:pStyle w:val="Normal"/>
        <w:shd w:val="nil" w:color="000000"/>
        <w:jc w:val="both"/>
        <w:rPr>
          <w:rFonts w:ascii="Tinos" w:hAnsi="Tinos" w:cs="Tinos"/>
          <w:b/>
          <w:bCs/>
          <w:sz w:val="28"/>
          <w:szCs w:val="28"/>
          <w14:ligatures w14:val="none"/>
        </w:rPr>
      </w:pPr>
      <w:r>
        <w:rPr>
          <w:rFonts w:eastAsia="Tinos" w:cs="Tinos" w:ascii="Tinos" w:hAnsi="Tinos"/>
          <w:b/>
          <w:bCs/>
          <w:sz w:val="28"/>
          <w:szCs w:val="28"/>
        </w:rPr>
        <w:t xml:space="preserve">Кто может оформить квартиру в новостройке?  </w:t>
      </w:r>
    </w:p>
    <w:p>
      <w:pPr>
        <w:pStyle w:val="Normal"/>
        <w:shd w:val="nil" w:color="000000"/>
        <w:jc w:val="both"/>
        <w:rPr>
          <w:rFonts w:ascii="Tinos" w:hAnsi="Tinos" w:cs="Tinos"/>
          <w:sz w:val="28"/>
          <w:szCs w:val="28"/>
          <w14:ligatures w14:val="none"/>
        </w:rPr>
      </w:pPr>
      <w:r>
        <w:rPr>
          <w:rFonts w:eastAsia="Tinos" w:cs="Tinos" w:ascii="Tinos" w:hAnsi="Tinos"/>
          <w:sz w:val="28"/>
          <w:szCs w:val="28"/>
        </w:rPr>
        <w:t xml:space="preserve">Интересно, что инициировать регистрацию права собственности на готовую квартиру может не только дольщик, но и застройщик. В 2022 году застройщики подали 71 такое заявление, в 2023 году — всего 10, а в 2024 году их число резко выросло до 156.  </w:t>
      </w:r>
    </w:p>
    <w:p>
      <w:pPr>
        <w:pStyle w:val="Normal"/>
        <w:shd w:val="nil" w:color="000000"/>
        <w:jc w:val="both"/>
        <w:rPr>
          <w:rFonts w:ascii="Tinos" w:hAnsi="Tinos" w:cs="Tinos"/>
          <w:sz w:val="28"/>
          <w:szCs w:val="28"/>
          <w14:ligatures w14:val="none"/>
        </w:rPr>
      </w:pPr>
      <w:r>
        <w:rPr>
          <w:rFonts w:eastAsia="Tinos" w:cs="Tinos" w:ascii="Tinos" w:hAnsi="Tinos"/>
          <w:b/>
          <w:bCs/>
          <w:sz w:val="28"/>
          <w:szCs w:val="28"/>
        </w:rPr>
        <w:t>Что изменится с 1 марта 2025 года</w:t>
      </w:r>
      <w:r>
        <w:rPr>
          <w:rFonts w:eastAsia="Tinos" w:cs="Tinos" w:ascii="Tinos" w:hAnsi="Tinos"/>
          <w:sz w:val="28"/>
          <w:szCs w:val="28"/>
        </w:rPr>
        <w:t xml:space="preserve">?  </w:t>
      </w:r>
    </w:p>
    <w:p>
      <w:pPr>
        <w:pStyle w:val="Normal"/>
        <w:shd w:val="nil" w:color="000000"/>
        <w:jc w:val="both"/>
        <w:rPr>
          <w:rFonts w:ascii="Tinos" w:hAnsi="Tinos" w:cs="Tinos"/>
          <w:sz w:val="28"/>
          <w:szCs w:val="28"/>
          <w14:ligatures w14:val="none"/>
        </w:rPr>
      </w:pPr>
      <w:r>
        <w:rPr>
          <w:rFonts w:eastAsia="Tinos" w:cs="Tinos" w:ascii="Tinos" w:hAnsi="Tinos"/>
          <w:sz w:val="28"/>
          <w:szCs w:val="28"/>
        </w:rPr>
        <w:t xml:space="preserve">С весны текущего года застройщики обязаны перейти на электронное взаимодействие с Росреестром. Все документы для регистрации ДДУ должны будут подаваться исключительно в цифровом формате — через портал Госуслуг, личный кабинет на сайте Росреестра или другие утвержденные законом способы. Кроме того, застройщикам придется уложиться в жесткие сроки: права дольщиков на новостройки должны быть зарегистрированы в течение 30 рабочих дней после передачи объекта.  </w:t>
      </w:r>
    </w:p>
    <w:p>
      <w:pPr>
        <w:pStyle w:val="Normal"/>
        <w:shd w:val="nil" w:color="000000"/>
        <w:jc w:val="both"/>
        <w:rPr>
          <w:rFonts w:ascii="Tinos" w:hAnsi="Tinos" w:cs="Tinos"/>
          <w:b/>
          <w:bCs/>
          <w:sz w:val="28"/>
          <w:szCs w:val="28"/>
          <w14:ligatures w14:val="none"/>
        </w:rPr>
      </w:pPr>
      <w:r>
        <w:rPr>
          <w:rFonts w:eastAsia="Tinos" w:cs="Tinos" w:ascii="Tinos" w:hAnsi="Tinos"/>
          <w:b/>
          <w:bCs/>
          <w:sz w:val="28"/>
          <w:szCs w:val="28"/>
        </w:rPr>
        <w:t xml:space="preserve">Что это значит для дольщиков?  </w:t>
      </w:r>
    </w:p>
    <w:p>
      <w:pPr>
        <w:pStyle w:val="Normal"/>
        <w:shd w:val="nil" w:color="000000"/>
        <w:jc w:val="both"/>
        <w:rPr>
          <w:rFonts w:ascii="Tinos" w:hAnsi="Tinos" w:cs="Tinos"/>
          <w:sz w:val="28"/>
          <w:szCs w:val="28"/>
        </w:rPr>
      </w:pPr>
      <w:r>
        <w:rPr>
          <w:rFonts w:eastAsia="Tinos" w:cs="Tinos" w:ascii="Tinos" w:hAnsi="Tinos"/>
          <w:sz w:val="28"/>
          <w:szCs w:val="28"/>
        </w:rPr>
        <w:t xml:space="preserve">Нововведения призваны сделать процесс регистрации новостроек более </w:t>
      </w:r>
      <w:r>
        <w:rPr>
          <w:rFonts w:eastAsia="Tinos" w:cs="Tinos" w:ascii="Tinos" w:hAnsi="Tinos"/>
          <w:color w:val="000000"/>
          <w:sz w:val="28"/>
          <w:szCs w:val="28"/>
        </w:rPr>
        <w:t xml:space="preserve">прозрачным, быстрым и удобным. Теперь дольщики смогут получить свои квартиры в собственность без лишних задержек и бюрократических проволочек.  </w:t>
      </w:r>
    </w:p>
    <w:p>
      <w:pPr>
        <w:pStyle w:val="Normal"/>
        <w:shd w:val="clear" w:color="FFFFFF" w:fill="FFFFFF"/>
        <w:spacing w:before="60" w:after="180"/>
        <w:ind w:left="0" w:right="0" w:firstLine="708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6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1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204</Words>
  <Characters>1231</Characters>
  <CharactersWithSpaces>1445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2025-02-05T10:10:45Z</dcterms:modified>
  <cp:revision>2</cp:revision>
  <dc:subject/>
  <dc:title/>
</cp:coreProperties>
</file>