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83"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1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50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83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8E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:rsidR="0016508E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 от 28.08.2020 №401-п</w:t>
      </w:r>
    </w:p>
    <w:p w:rsidR="0016508E" w:rsidRPr="00933E9A" w:rsidRDefault="0016508E" w:rsidP="0016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12481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муниципальной программы</w:t>
      </w:r>
      <w:r w:rsidRPr="00933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городского поселения 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                          Приволжского городского поселения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21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bookmarkEnd w:id="0"/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E" w:rsidRPr="00933E9A" w:rsidRDefault="0016508E" w:rsidP="0016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                   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 № 192-п «Об утверждении Порядка разработки, реализации и оценки</w:t>
      </w:r>
      <w:r w:rsidR="005A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08E" w:rsidRPr="00933E9A" w:rsidRDefault="0016508E" w:rsidP="0016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постановление администрации Приволжского муниципального района от 28.08.2020 № 401-п «Об утверждении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далее-Постановление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16508E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2021-2024 годы»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16508E" w:rsidRPr="006537AB" w:rsidRDefault="0016508E" w:rsidP="00165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В.Г.Нагацкого.</w:t>
      </w:r>
    </w:p>
    <w:p w:rsidR="00933E9A" w:rsidRDefault="0016508E" w:rsidP="00165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с момента его опубликования</w:t>
      </w:r>
      <w:r w:rsidR="006537A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4482" w:rsidRDefault="00224482" w:rsidP="00165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E9A" w:rsidRPr="00933E9A" w:rsidRDefault="00933E9A" w:rsidP="00933E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</w:t>
      </w:r>
      <w:r w:rsidR="00C32D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224482" w:rsidRPr="00C32D70" w:rsidRDefault="00933E9A" w:rsidP="00C32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A541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И.В. Мельнико</w:t>
      </w:r>
      <w:r w:rsidR="00C32D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052C8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30.12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16508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45DA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№</w:t>
      </w:r>
      <w:r w:rsidR="00AB73A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052C8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646</w:t>
      </w:r>
      <w:r w:rsidR="00D8350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  <w:bookmarkStart w:id="1" w:name="_GoBack"/>
      <w:bookmarkEnd w:id="1"/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E61E7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4"/>
        <w:gridCol w:w="1703"/>
        <w:gridCol w:w="1560"/>
        <w:gridCol w:w="992"/>
        <w:gridCol w:w="963"/>
      </w:tblGrid>
      <w:tr w:rsidR="00BC2F2D" w:rsidRPr="00BC2F2D" w:rsidTr="000F595A">
        <w:trPr>
          <w:trHeight w:val="844"/>
        </w:trPr>
        <w:tc>
          <w:tcPr>
            <w:tcW w:w="2235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F595A">
        <w:trPr>
          <w:trHeight w:val="669"/>
        </w:trPr>
        <w:tc>
          <w:tcPr>
            <w:tcW w:w="2235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512" w:type="dxa"/>
            <w:gridSpan w:val="5"/>
          </w:tcPr>
          <w:p w:rsidR="00224482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7512" w:type="dxa"/>
            <w:gridSpan w:val="5"/>
          </w:tcPr>
          <w:p w:rsidR="00BC2F2D" w:rsidRPr="00BC2F2D" w:rsidRDefault="00CB3040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7512" w:type="dxa"/>
            <w:gridSpan w:val="5"/>
          </w:tcPr>
          <w:p w:rsidR="00BC2F2D" w:rsidRPr="00BC2F2D" w:rsidRDefault="00575ED8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</w:p>
        </w:tc>
      </w:tr>
      <w:tr w:rsidR="00BC2F2D" w:rsidRPr="00BC2F2D" w:rsidTr="000F595A">
        <w:trPr>
          <w:trHeight w:val="1054"/>
        </w:trPr>
        <w:tc>
          <w:tcPr>
            <w:tcW w:w="2235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</w:p>
        </w:tc>
        <w:tc>
          <w:tcPr>
            <w:tcW w:w="7512" w:type="dxa"/>
            <w:gridSpan w:val="5"/>
          </w:tcPr>
          <w:p w:rsidR="00BC2F2D" w:rsidRDefault="00D807B6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EF5A15">
        <w:trPr>
          <w:trHeight w:val="132"/>
        </w:trPr>
        <w:tc>
          <w:tcPr>
            <w:tcW w:w="2235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1F5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F595A">
        <w:trPr>
          <w:trHeight w:val="324"/>
        </w:trPr>
        <w:tc>
          <w:tcPr>
            <w:tcW w:w="2235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5218" w:type="dxa"/>
            <w:gridSpan w:val="4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E61E7E" w:rsidRPr="00BC2F2D" w:rsidTr="00DF1FDA">
        <w:trPr>
          <w:trHeight w:val="10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60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E61E7E" w:rsidRPr="00BC2F2D" w:rsidTr="00DF1FDA">
        <w:trPr>
          <w:trHeight w:val="114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3179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703" w:type="dxa"/>
          </w:tcPr>
          <w:p w:rsidR="00E61E7E" w:rsidRPr="003F1AB8" w:rsidRDefault="00B807F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92</w:t>
            </w:r>
            <w:r w:rsidR="00F23D6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197422,43</w:t>
            </w:r>
          </w:p>
        </w:tc>
        <w:tc>
          <w:tcPr>
            <w:tcW w:w="1560" w:type="dxa"/>
          </w:tcPr>
          <w:p w:rsidR="00E61E7E" w:rsidRPr="003F1AB8" w:rsidRDefault="00DF1FD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</w:tc>
        <w:tc>
          <w:tcPr>
            <w:tcW w:w="992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DF1FDA">
        <w:trPr>
          <w:trHeight w:val="1328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03" w:type="dxa"/>
          </w:tcPr>
          <w:p w:rsidR="00E61E7E" w:rsidRPr="003F1AB8" w:rsidRDefault="00587A5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5914981,16</w:t>
            </w:r>
          </w:p>
        </w:tc>
        <w:tc>
          <w:tcPr>
            <w:tcW w:w="1560" w:type="dxa"/>
          </w:tcPr>
          <w:p w:rsidR="00E61E7E" w:rsidRPr="003F1AB8" w:rsidRDefault="00DF1FD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2526,32</w:t>
            </w:r>
          </w:p>
        </w:tc>
        <w:tc>
          <w:tcPr>
            <w:tcW w:w="992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DF1FDA">
        <w:trPr>
          <w:trHeight w:val="753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03" w:type="dxa"/>
          </w:tcPr>
          <w:p w:rsidR="00E61E7E" w:rsidRPr="003F1AB8" w:rsidRDefault="00D77E6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362824,41</w:t>
            </w:r>
          </w:p>
        </w:tc>
        <w:tc>
          <w:tcPr>
            <w:tcW w:w="1560" w:type="dxa"/>
          </w:tcPr>
          <w:p w:rsidR="00E61E7E" w:rsidRPr="003F1AB8" w:rsidRDefault="00DF1FD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48000,00</w:t>
            </w:r>
          </w:p>
        </w:tc>
        <w:tc>
          <w:tcPr>
            <w:tcW w:w="992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DF1FDA">
        <w:trPr>
          <w:trHeight w:val="5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3" w:type="dxa"/>
          </w:tcPr>
          <w:p w:rsidR="00E61E7E" w:rsidRPr="003F1AB8" w:rsidRDefault="00D77E6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85919616,86</w:t>
            </w:r>
          </w:p>
        </w:tc>
        <w:tc>
          <w:tcPr>
            <w:tcW w:w="1560" w:type="dxa"/>
          </w:tcPr>
          <w:p w:rsidR="00E61E7E" w:rsidRPr="003F1AB8" w:rsidRDefault="00DF1FDA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4752000,00</w:t>
            </w:r>
          </w:p>
        </w:tc>
        <w:tc>
          <w:tcPr>
            <w:tcW w:w="992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   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EF5A15" w:rsidRP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EF5A15" w:rsidRPr="00EF5A15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38"/>
        <w:gridCol w:w="709"/>
        <w:gridCol w:w="992"/>
        <w:gridCol w:w="850"/>
        <w:gridCol w:w="850"/>
        <w:gridCol w:w="851"/>
        <w:gridCol w:w="850"/>
        <w:gridCol w:w="993"/>
      </w:tblGrid>
      <w:tr w:rsidR="007F48FF" w:rsidRPr="006D4BB7" w:rsidTr="007F48FF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Ед. 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2019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2020</w:t>
            </w:r>
          </w:p>
          <w:p w:rsidR="007F48FF" w:rsidRPr="006D4BB7" w:rsidRDefault="00F738FA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21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22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23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24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F48FF" w:rsidRPr="006D4BB7" w:rsidTr="007F48FF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 дворовых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7F48FF" w:rsidRPr="006D4BB7" w:rsidTr="007F48FF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4B797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8FF" w:rsidRPr="006D4BB7" w:rsidTr="007F48FF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48FF" w:rsidRPr="006D4BB7" w:rsidTr="007F48FF">
        <w:trPr>
          <w:trHeight w:hRule="exact"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Pr="005F6792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BC569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B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lastRenderedPageBreak/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граждан путем создания зеленых, оздоровительных и спортивных зон.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2"/>
        <w:gridCol w:w="2113"/>
        <w:gridCol w:w="972"/>
        <w:gridCol w:w="980"/>
        <w:gridCol w:w="980"/>
        <w:gridCol w:w="981"/>
        <w:gridCol w:w="981"/>
        <w:gridCol w:w="981"/>
        <w:gridCol w:w="981"/>
      </w:tblGrid>
      <w:tr w:rsidR="002B721B" w:rsidTr="002B721B">
        <w:tc>
          <w:tcPr>
            <w:tcW w:w="1033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3" w:name="_Hlk48293410"/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8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1042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040" w:type="dxa"/>
            <w:gridSpan w:val="6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437266" w:rsidTr="00D8356E">
        <w:trPr>
          <w:trHeight w:val="737"/>
        </w:trPr>
        <w:tc>
          <w:tcPr>
            <w:tcW w:w="1033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D8356E" w:rsidRDefault="00D8356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651200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65120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51200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651200">
              <w:rPr>
                <w:sz w:val="28"/>
                <w:szCs w:val="28"/>
              </w:rPr>
              <w:t>1</w:t>
            </w:r>
          </w:p>
        </w:tc>
      </w:tr>
      <w:tr w:rsidR="00437266" w:rsidTr="002E40B4">
        <w:trPr>
          <w:trHeight w:val="1718"/>
        </w:trPr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  <w:r w:rsidR="00CA576C"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2B721B" w:rsidRPr="006A7A39" w:rsidRDefault="00BC569F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9,27</w:t>
            </w:r>
          </w:p>
        </w:tc>
        <w:tc>
          <w:tcPr>
            <w:tcW w:w="1007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651200">
              <w:rPr>
                <w:spacing w:val="-1"/>
                <w:sz w:val="28"/>
                <w:szCs w:val="28"/>
              </w:rPr>
              <w:t>5,46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51200">
              <w:rPr>
                <w:sz w:val="28"/>
                <w:szCs w:val="28"/>
              </w:rPr>
              <w:t>1,65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51200">
              <w:rPr>
                <w:sz w:val="28"/>
                <w:szCs w:val="28"/>
              </w:rPr>
              <w:t>6,80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651200">
              <w:rPr>
                <w:sz w:val="28"/>
                <w:szCs w:val="28"/>
              </w:rPr>
              <w:t>1,96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  <w:r w:rsidR="00437266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2B721B" w:rsidRPr="006A7A39" w:rsidRDefault="00B83CFA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2B721B" w:rsidRPr="006A7A39" w:rsidRDefault="003760E2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437266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общественных   территорий   от </w:t>
            </w:r>
            <w:r w:rsidRPr="006D4BB7">
              <w:rPr>
                <w:sz w:val="24"/>
                <w:szCs w:val="24"/>
              </w:rPr>
              <w:lastRenderedPageBreak/>
              <w:t>общего количества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06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16,68</w:t>
            </w:r>
          </w:p>
        </w:tc>
        <w:tc>
          <w:tcPr>
            <w:tcW w:w="1006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33,33</w:t>
            </w:r>
          </w:p>
        </w:tc>
        <w:tc>
          <w:tcPr>
            <w:tcW w:w="1007" w:type="dxa"/>
          </w:tcPr>
          <w:p w:rsidR="002B721B" w:rsidRPr="006A7A39" w:rsidRDefault="00437266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66,67</w:t>
            </w:r>
          </w:p>
        </w:tc>
        <w:tc>
          <w:tcPr>
            <w:tcW w:w="1007" w:type="dxa"/>
          </w:tcPr>
          <w:p w:rsidR="002B721B" w:rsidRPr="006A7A39" w:rsidRDefault="00B83CFA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83,35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2B721B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bookmarkEnd w:id="3"/>
    </w:tbl>
    <w:p w:rsidR="002B721B" w:rsidRDefault="002B721B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A4E62" w:rsidRPr="00BC2F2D" w:rsidRDefault="00103035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4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10065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64"/>
        <w:gridCol w:w="1560"/>
        <w:gridCol w:w="992"/>
        <w:gridCol w:w="1338"/>
      </w:tblGrid>
      <w:tr w:rsidR="00E07A10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DF1FDA" w:rsidRPr="00BC2F2D" w:rsidTr="00DF1FDA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92197422,43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FE3800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FE3800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5914981,16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362824,41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85919616,86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4752000,00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92197422,43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5914981,16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362824,41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85919616,86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4752000,00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4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</w:t>
      </w:r>
    </w:p>
    <w:p w:rsidR="00587A5A" w:rsidRPr="002E40B4" w:rsidRDefault="00587A5A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E07A1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1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729"/>
        <w:gridCol w:w="1560"/>
        <w:gridCol w:w="992"/>
        <w:gridCol w:w="963"/>
      </w:tblGrid>
      <w:tr w:rsidR="00BC2F2D" w:rsidRPr="00BC2F2D" w:rsidTr="00F53781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53781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07A1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53781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4E3E26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53781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5244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07A10" w:rsidRPr="00BC2F2D" w:rsidTr="00DF1FDA">
        <w:trPr>
          <w:trHeight w:val="1275"/>
        </w:trPr>
        <w:tc>
          <w:tcPr>
            <w:tcW w:w="2211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29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60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3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DF1FDA" w:rsidRPr="00BC2F2D" w:rsidTr="00DF1FDA">
        <w:trPr>
          <w:trHeight w:val="1425"/>
        </w:trPr>
        <w:tc>
          <w:tcPr>
            <w:tcW w:w="2211" w:type="dxa"/>
            <w:vMerge/>
          </w:tcPr>
          <w:p w:rsidR="00DF1FDA" w:rsidRPr="00BC2F2D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Приволжского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lastRenderedPageBreak/>
              <w:t>92197422,43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</w:tc>
        <w:tc>
          <w:tcPr>
            <w:tcW w:w="992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4C1613">
        <w:trPr>
          <w:trHeight w:val="900"/>
        </w:trPr>
        <w:tc>
          <w:tcPr>
            <w:tcW w:w="2211" w:type="dxa"/>
            <w:vMerge/>
          </w:tcPr>
          <w:p w:rsidR="00DF1FDA" w:rsidRPr="00BC2F2D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5914981,16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2526,32</w:t>
            </w:r>
          </w:p>
        </w:tc>
        <w:tc>
          <w:tcPr>
            <w:tcW w:w="992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4C1613">
        <w:trPr>
          <w:trHeight w:val="537"/>
        </w:trPr>
        <w:tc>
          <w:tcPr>
            <w:tcW w:w="2211" w:type="dxa"/>
            <w:vMerge/>
          </w:tcPr>
          <w:p w:rsidR="00DF1FDA" w:rsidRPr="00BC2F2D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362824,41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48000,00</w:t>
            </w:r>
          </w:p>
        </w:tc>
        <w:tc>
          <w:tcPr>
            <w:tcW w:w="992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DF1FDA" w:rsidRPr="000864C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4C1613">
        <w:trPr>
          <w:trHeight w:val="637"/>
        </w:trPr>
        <w:tc>
          <w:tcPr>
            <w:tcW w:w="2211" w:type="dxa"/>
            <w:vMerge/>
          </w:tcPr>
          <w:p w:rsidR="00DF1FDA" w:rsidRPr="00BC2F2D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85919616,86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4752000,00</w:t>
            </w:r>
          </w:p>
        </w:tc>
        <w:tc>
          <w:tcPr>
            <w:tcW w:w="992" w:type="dxa"/>
          </w:tcPr>
          <w:p w:rsidR="00DF1FDA" w:rsidRPr="00F53781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DF1FDA" w:rsidRPr="00F53781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подпрограммы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Минимальный перечень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16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5C0BE8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ливнеприемников.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1D256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622"/>
        <w:gridCol w:w="1638"/>
        <w:gridCol w:w="993"/>
        <w:gridCol w:w="1559"/>
      </w:tblGrid>
      <w:tr w:rsidR="00057360" w:rsidRPr="00BC2F2D" w:rsidTr="00DF1FDA">
        <w:tc>
          <w:tcPr>
            <w:tcW w:w="4049" w:type="dxa"/>
          </w:tcPr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22" w:type="dxa"/>
          </w:tcPr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38" w:type="dxa"/>
          </w:tcPr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3" w:type="dxa"/>
          </w:tcPr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59" w:type="dxa"/>
          </w:tcPr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DF1FDA" w:rsidRPr="00BC2F2D" w:rsidTr="00DF1FDA">
        <w:tc>
          <w:tcPr>
            <w:tcW w:w="4049" w:type="dxa"/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92197422,43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</w:tc>
        <w:tc>
          <w:tcPr>
            <w:tcW w:w="993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c>
          <w:tcPr>
            <w:tcW w:w="4049" w:type="dxa"/>
          </w:tcPr>
          <w:p w:rsidR="00DF1FDA" w:rsidRPr="00BC2F2D" w:rsidRDefault="00DF1FDA" w:rsidP="00DF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5914981,16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2526,32</w:t>
            </w:r>
          </w:p>
        </w:tc>
        <w:tc>
          <w:tcPr>
            <w:tcW w:w="993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c>
          <w:tcPr>
            <w:tcW w:w="4049" w:type="dxa"/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362824,41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48000,00</w:t>
            </w:r>
          </w:p>
        </w:tc>
        <w:tc>
          <w:tcPr>
            <w:tcW w:w="993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DF1FDA" w:rsidRPr="00BC2F2D" w:rsidTr="00DF1FDA">
        <w:tc>
          <w:tcPr>
            <w:tcW w:w="4049" w:type="dxa"/>
          </w:tcPr>
          <w:p w:rsidR="00DF1FDA" w:rsidRPr="00BC2F2D" w:rsidRDefault="00DF1FDA" w:rsidP="00DF1FD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85919616,86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DA" w:rsidRPr="003F1AB8" w:rsidRDefault="00DF1FDA" w:rsidP="00DF1F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4752000,00</w:t>
            </w:r>
          </w:p>
        </w:tc>
        <w:tc>
          <w:tcPr>
            <w:tcW w:w="993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F1FDA" w:rsidRPr="00BC2F2D" w:rsidRDefault="00DF1FDA" w:rsidP="00D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057360" w:rsidRPr="00BC2F2D" w:rsidTr="00DF1FDA">
        <w:trPr>
          <w:trHeight w:val="699"/>
        </w:trPr>
        <w:tc>
          <w:tcPr>
            <w:tcW w:w="4049" w:type="dxa"/>
          </w:tcPr>
          <w:p w:rsidR="00D371C2" w:rsidRDefault="00057360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D371C2" w:rsidRDefault="00D371C2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112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057360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Шагова, д. 27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Железнодорожная, д. 17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057360" w:rsidRPr="00BC2F2D" w:rsidRDefault="00057360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площадь «Волжских традиций»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 xml:space="preserve"> (1 этап) 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Pr="00713DC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города Приволжск Ивановской области -2 этап-в рамках концепции развития системы общественных пространств «Мастерская у Волги»</w:t>
            </w: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сад «Текстильщик»</w:t>
            </w:r>
            <w:r w:rsidR="004D790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(2 этап)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контроль</w:t>
            </w:r>
          </w:p>
          <w:p w:rsidR="00057360" w:rsidRPr="00BC2F2D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Default="0005736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Авторский надзор при проведении работ </w:t>
            </w:r>
          </w:p>
          <w:p w:rsidR="00BD18C0" w:rsidRDefault="00BD18C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D18C0" w:rsidRDefault="00BD18C0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Субсидия на реализацию мероприятий </w:t>
            </w:r>
            <w:r w:rsidR="007510B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 повышению надежности и эффективности работы безхозяйных объектов центральных систем теплоснабжения, водоснабжения, водоотведения и приведения их в технически исправное состояние</w:t>
            </w:r>
          </w:p>
          <w:p w:rsidR="00587A5A" w:rsidRDefault="00587A5A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587A5A" w:rsidRPr="00BC2F2D" w:rsidRDefault="00587A5A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Реализация мероприятий</w:t>
            </w:r>
          </w:p>
          <w:p w:rsidR="00057360" w:rsidRDefault="00057360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7510BA" w:rsidRDefault="007510BA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Субсидия организациям, осуществляющим деятельность в сфере жилищно-коммунального хозяйства</w:t>
            </w:r>
          </w:p>
          <w:p w:rsidR="007510BA" w:rsidRDefault="007510BA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057360" w:rsidRPr="00BC2F2D" w:rsidRDefault="00057360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22" w:type="dxa"/>
          </w:tcPr>
          <w:p w:rsidR="00057360" w:rsidRDefault="00F10F86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8333A" w:rsidRDefault="00587A5A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36301537,30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BD18C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50000000</w:t>
            </w:r>
            <w:r w:rsidR="00CE23D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34150,27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1187000,00</w:t>
            </w: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70000,00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1050000,00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146849,73</w:t>
            </w: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Pr="00BC2F2D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3407885,13</w:t>
            </w:r>
          </w:p>
        </w:tc>
        <w:tc>
          <w:tcPr>
            <w:tcW w:w="1638" w:type="dxa"/>
          </w:tcPr>
          <w:p w:rsidR="00057360" w:rsidRPr="00BC2F2D" w:rsidRDefault="00F10F86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E8333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DF1FD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4802526,32</w:t>
            </w:r>
          </w:p>
          <w:p w:rsidR="00DF1FDA" w:rsidRDefault="00DF1FD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57360" w:rsidRDefault="00F10F86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E8333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57360" w:rsidRPr="00BC2F2D" w:rsidRDefault="00F10F86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E8333A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E23D5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CE23D5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587A5A" w:rsidRDefault="00587A5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510BA" w:rsidRDefault="007510BA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57360" w:rsidRPr="00BC2F2D" w:rsidRDefault="00057360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Pr="00BC2F2D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5F6792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92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8"/>
        <w:gridCol w:w="2112"/>
        <w:gridCol w:w="976"/>
        <w:gridCol w:w="982"/>
        <w:gridCol w:w="961"/>
        <w:gridCol w:w="983"/>
        <w:gridCol w:w="983"/>
        <w:gridCol w:w="983"/>
        <w:gridCol w:w="983"/>
      </w:tblGrid>
      <w:tr w:rsidR="00194CD9" w:rsidTr="00F57856">
        <w:tc>
          <w:tcPr>
            <w:tcW w:w="948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2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976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75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F57856" w:rsidTr="00F57856">
        <w:tc>
          <w:tcPr>
            <w:tcW w:w="948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82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1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83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983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983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983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651200" w:rsidTr="00F57856">
        <w:tc>
          <w:tcPr>
            <w:tcW w:w="948" w:type="dxa"/>
          </w:tcPr>
          <w:p w:rsidR="00651200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651200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976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82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21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651200" w:rsidTr="00F57856">
        <w:tc>
          <w:tcPr>
            <w:tcW w:w="948" w:type="dxa"/>
          </w:tcPr>
          <w:p w:rsidR="00651200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651200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976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82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961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9,27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15,46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1,65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6,80</w:t>
            </w:r>
          </w:p>
        </w:tc>
        <w:tc>
          <w:tcPr>
            <w:tcW w:w="983" w:type="dxa"/>
          </w:tcPr>
          <w:p w:rsidR="00651200" w:rsidRPr="006A7A39" w:rsidRDefault="00651200" w:rsidP="006512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1,96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34"/>
        <w:gridCol w:w="2578"/>
        <w:gridCol w:w="558"/>
        <w:gridCol w:w="978"/>
        <w:gridCol w:w="958"/>
        <w:gridCol w:w="979"/>
        <w:gridCol w:w="979"/>
        <w:gridCol w:w="973"/>
        <w:gridCol w:w="974"/>
      </w:tblGrid>
      <w:tr w:rsidR="00194CD9" w:rsidTr="00F57856">
        <w:tc>
          <w:tcPr>
            <w:tcW w:w="934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558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41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F57856" w:rsidTr="00F57856">
        <w:tc>
          <w:tcPr>
            <w:tcW w:w="934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558" w:type="dxa"/>
            <w:vMerge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78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58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79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979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973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974" w:type="dxa"/>
          </w:tcPr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F57856" w:rsidRDefault="00F57856" w:rsidP="00F57856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194CD9" w:rsidTr="00F57856">
        <w:tc>
          <w:tcPr>
            <w:tcW w:w="934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58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78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194CD9" w:rsidRPr="006A7A39" w:rsidRDefault="00F10F86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194CD9" w:rsidTr="00F57856">
        <w:tc>
          <w:tcPr>
            <w:tcW w:w="934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58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78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16,68</w:t>
            </w:r>
          </w:p>
        </w:tc>
        <w:tc>
          <w:tcPr>
            <w:tcW w:w="958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33,33</w:t>
            </w:r>
          </w:p>
        </w:tc>
        <w:tc>
          <w:tcPr>
            <w:tcW w:w="979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66,67</w:t>
            </w:r>
          </w:p>
        </w:tc>
        <w:tc>
          <w:tcPr>
            <w:tcW w:w="979" w:type="dxa"/>
          </w:tcPr>
          <w:p w:rsidR="00194CD9" w:rsidRPr="006A7A39" w:rsidRDefault="00B83CFA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83,35</w:t>
            </w:r>
          </w:p>
        </w:tc>
        <w:tc>
          <w:tcPr>
            <w:tcW w:w="97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194CD9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</w:tbl>
    <w:p w:rsidR="005F6792" w:rsidRDefault="005F679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76C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C2F2D" w:rsidRPr="00BC2F2D" w:rsidTr="00CA3A64">
        <w:trPr>
          <w:trHeight w:val="1550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CA3A64">
              <w:trPr>
                <w:trHeight w:val="1404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8 Марта,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Дзержинского,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"Льнянщики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Б.Московская,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Б.Московская,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М.Московская,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106 кор.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д.106 кор.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28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79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20а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Фрунзе, д. 23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21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F2D" w:rsidRPr="00BC2F2D" w:rsidRDefault="00BC2F2D" w:rsidP="00BC2F2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4A2B7B">
        <w:trPr>
          <w:trHeight w:val="2354"/>
        </w:trPr>
        <w:tc>
          <w:tcPr>
            <w:tcW w:w="10138" w:type="dxa"/>
            <w:tcBorders>
              <w:bottom w:val="single" w:sz="4" w:space="0" w:color="auto"/>
            </w:tcBorders>
          </w:tcPr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площадь «Волжских традиций»  (1 этап) </w:t>
            </w:r>
          </w:p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Pr="00713DC2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города Приволжск Ивановской области -2 этап-в рамках концепции развития системы общественных пространств «Мастерская у Волги»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сад «Текстильщик»</w:t>
            </w:r>
            <w:r w:rsidR="004D7900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(2 этап)</w:t>
            </w:r>
          </w:p>
          <w:p w:rsidR="00A541D8" w:rsidRDefault="00A541D8" w:rsidP="00BC2F2D">
            <w:pPr>
              <w:spacing w:after="120"/>
              <w:rPr>
                <w:rFonts w:ascii="Calibri" w:eastAsia="Calibri" w:hAnsi="Calibri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5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5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E82CD8" w:rsidRDefault="00666293" w:rsidP="00666293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E82CD8" w:rsidRDefault="00E82CD8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C569F" w:rsidRDefault="00BC569F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F57856" w:rsidRDefault="00F57856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7510BA" w:rsidRDefault="007510BA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393D0A" w:rsidRDefault="00393D0A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F57856" w:rsidRDefault="00F57856" w:rsidP="00502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9"/>
      <w:bookmarkEnd w:id="6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DF59E1" w:rsidRDefault="00666293" w:rsidP="0066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Приволжского муниципального района от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Par46"/>
      <w:bookmarkEnd w:id="7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020B8" w:rsidRPr="00DF59E1" w:rsidRDefault="00C020B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82CD8" w:rsidRDefault="00E82CD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Default="00666293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BC569F" w:rsidRDefault="00BC569F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57856" w:rsidRPr="00DF59E1" w:rsidRDefault="00F57856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977"/>
      </w:tblGrid>
      <w:tr w:rsidR="00DF59E1" w:rsidRPr="00DF59E1" w:rsidTr="00D964E2">
        <w:trPr>
          <w:trHeight w:val="330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D964E2">
        <w:trPr>
          <w:trHeight w:val="26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D964E2">
        <w:trPr>
          <w:trHeight w:val="269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Установка урн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14"/>
      </w:tblGrid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ливнеприемников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43" w:type="dxa"/>
        <w:tblInd w:w="93" w:type="dxa"/>
        <w:tblLook w:val="04A0" w:firstRow="1" w:lastRow="0" w:firstColumn="1" w:lastColumn="0" w:noHBand="0" w:noVBand="1"/>
      </w:tblPr>
      <w:tblGrid>
        <w:gridCol w:w="724"/>
        <w:gridCol w:w="4356"/>
        <w:gridCol w:w="1173"/>
        <w:gridCol w:w="2300"/>
        <w:gridCol w:w="1490"/>
      </w:tblGrid>
      <w:tr w:rsidR="00DF59E1" w:rsidRPr="00DF59E1" w:rsidTr="00D964E2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D964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грунта с погрузкой на а/самосвал (с первозкой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(верхний слой а/б марки П,тип В) -проезжая часть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Ш,тип Д)-тротуар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Доренбоза (розовый)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германски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Гацания Нью Дей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D964E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D964E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Евроконтейнер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17"/>
        <w:gridCol w:w="2268"/>
        <w:gridCol w:w="1560"/>
      </w:tblGrid>
      <w:tr w:rsidR="00DF59E1" w:rsidRPr="00DF59E1" w:rsidTr="00D964E2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пог.м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9A3" w:rsidRDefault="00AF69A3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35866043"/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9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8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                               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7856" w:rsidRDefault="00F57856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7856" w:rsidRDefault="00F57856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820"/>
        <w:gridCol w:w="1673"/>
        <w:gridCol w:w="1633"/>
        <w:gridCol w:w="2025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494"/>
        <w:gridCol w:w="117"/>
        <w:gridCol w:w="1360"/>
        <w:gridCol w:w="1727"/>
        <w:gridCol w:w="298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"Льнянщики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Б.Московская,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М.Московская,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106 кор.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д.106 кор.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C" w:rsidRDefault="0012039C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1650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78" w:rsidRDefault="00460078" w:rsidP="00102FFF">
      <w:pPr>
        <w:spacing w:after="0" w:line="240" w:lineRule="auto"/>
      </w:pPr>
      <w:r>
        <w:separator/>
      </w:r>
    </w:p>
  </w:endnote>
  <w:endnote w:type="continuationSeparator" w:id="0">
    <w:p w:rsidR="00460078" w:rsidRDefault="00460078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78" w:rsidRDefault="00460078" w:rsidP="00102FFF">
      <w:pPr>
        <w:spacing w:after="0" w:line="240" w:lineRule="auto"/>
      </w:pPr>
      <w:r>
        <w:separator/>
      </w:r>
    </w:p>
  </w:footnote>
  <w:footnote w:type="continuationSeparator" w:id="0">
    <w:p w:rsidR="00460078" w:rsidRDefault="00460078" w:rsidP="0010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1526E"/>
    <w:rsid w:val="00022303"/>
    <w:rsid w:val="000268F3"/>
    <w:rsid w:val="00036BF9"/>
    <w:rsid w:val="000373D0"/>
    <w:rsid w:val="00052C83"/>
    <w:rsid w:val="00054616"/>
    <w:rsid w:val="00057360"/>
    <w:rsid w:val="00062A66"/>
    <w:rsid w:val="00075124"/>
    <w:rsid w:val="00084C7E"/>
    <w:rsid w:val="000864C8"/>
    <w:rsid w:val="000A1D77"/>
    <w:rsid w:val="000B059C"/>
    <w:rsid w:val="000D005F"/>
    <w:rsid w:val="000F49F3"/>
    <w:rsid w:val="000F595A"/>
    <w:rsid w:val="000F7249"/>
    <w:rsid w:val="00102FFF"/>
    <w:rsid w:val="00103035"/>
    <w:rsid w:val="0010554C"/>
    <w:rsid w:val="001055D1"/>
    <w:rsid w:val="00113EAE"/>
    <w:rsid w:val="0012039C"/>
    <w:rsid w:val="00124641"/>
    <w:rsid w:val="00134CD9"/>
    <w:rsid w:val="00136B9A"/>
    <w:rsid w:val="0015220B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5AFC"/>
    <w:rsid w:val="001B450A"/>
    <w:rsid w:val="001B6C35"/>
    <w:rsid w:val="001B70EE"/>
    <w:rsid w:val="001C14FB"/>
    <w:rsid w:val="001C35C5"/>
    <w:rsid w:val="001D2560"/>
    <w:rsid w:val="001E2DF3"/>
    <w:rsid w:val="001F5B1F"/>
    <w:rsid w:val="00201FF4"/>
    <w:rsid w:val="0020291F"/>
    <w:rsid w:val="002217B1"/>
    <w:rsid w:val="00224482"/>
    <w:rsid w:val="00231F7B"/>
    <w:rsid w:val="00232D80"/>
    <w:rsid w:val="002338D1"/>
    <w:rsid w:val="0023572C"/>
    <w:rsid w:val="00245DAE"/>
    <w:rsid w:val="00284E2E"/>
    <w:rsid w:val="00287ACB"/>
    <w:rsid w:val="002A6CB8"/>
    <w:rsid w:val="002B721B"/>
    <w:rsid w:val="002C5F0E"/>
    <w:rsid w:val="002D7966"/>
    <w:rsid w:val="002E40B4"/>
    <w:rsid w:val="0036692E"/>
    <w:rsid w:val="003760E2"/>
    <w:rsid w:val="00382AD2"/>
    <w:rsid w:val="00385D57"/>
    <w:rsid w:val="00387F11"/>
    <w:rsid w:val="00391C1B"/>
    <w:rsid w:val="003926B5"/>
    <w:rsid w:val="00393D0A"/>
    <w:rsid w:val="00396852"/>
    <w:rsid w:val="003A07A5"/>
    <w:rsid w:val="003B12D6"/>
    <w:rsid w:val="003B1A21"/>
    <w:rsid w:val="003E47D6"/>
    <w:rsid w:val="003F1AB8"/>
    <w:rsid w:val="003F75F6"/>
    <w:rsid w:val="004040C6"/>
    <w:rsid w:val="00404C8D"/>
    <w:rsid w:val="00405C65"/>
    <w:rsid w:val="004116B6"/>
    <w:rsid w:val="00413E91"/>
    <w:rsid w:val="004173AD"/>
    <w:rsid w:val="00437266"/>
    <w:rsid w:val="00443B9D"/>
    <w:rsid w:val="00445515"/>
    <w:rsid w:val="004478C4"/>
    <w:rsid w:val="004514AB"/>
    <w:rsid w:val="0045777B"/>
    <w:rsid w:val="00460078"/>
    <w:rsid w:val="004651DD"/>
    <w:rsid w:val="00475549"/>
    <w:rsid w:val="0048419E"/>
    <w:rsid w:val="004A2B7B"/>
    <w:rsid w:val="004B7971"/>
    <w:rsid w:val="004D7900"/>
    <w:rsid w:val="004E2CB4"/>
    <w:rsid w:val="004E3E26"/>
    <w:rsid w:val="004E6C3D"/>
    <w:rsid w:val="004E7E6D"/>
    <w:rsid w:val="004F0023"/>
    <w:rsid w:val="00502498"/>
    <w:rsid w:val="00502A09"/>
    <w:rsid w:val="00522753"/>
    <w:rsid w:val="00522AC4"/>
    <w:rsid w:val="0054232B"/>
    <w:rsid w:val="00543FA8"/>
    <w:rsid w:val="00545BC6"/>
    <w:rsid w:val="00547B22"/>
    <w:rsid w:val="00555F78"/>
    <w:rsid w:val="00556EA3"/>
    <w:rsid w:val="00564906"/>
    <w:rsid w:val="00573E30"/>
    <w:rsid w:val="00575ED8"/>
    <w:rsid w:val="0058759B"/>
    <w:rsid w:val="00587A5A"/>
    <w:rsid w:val="00587B4A"/>
    <w:rsid w:val="00597A31"/>
    <w:rsid w:val="005A4601"/>
    <w:rsid w:val="005B3371"/>
    <w:rsid w:val="005C0BE8"/>
    <w:rsid w:val="005F6792"/>
    <w:rsid w:val="00620086"/>
    <w:rsid w:val="00620BB2"/>
    <w:rsid w:val="00646F31"/>
    <w:rsid w:val="00651200"/>
    <w:rsid w:val="006537AB"/>
    <w:rsid w:val="00654168"/>
    <w:rsid w:val="00666293"/>
    <w:rsid w:val="00683554"/>
    <w:rsid w:val="0069158B"/>
    <w:rsid w:val="006A48AC"/>
    <w:rsid w:val="006A4E62"/>
    <w:rsid w:val="006A7A39"/>
    <w:rsid w:val="006C1CB9"/>
    <w:rsid w:val="006D1D24"/>
    <w:rsid w:val="006D4BB7"/>
    <w:rsid w:val="006E4D39"/>
    <w:rsid w:val="006F2B14"/>
    <w:rsid w:val="00714654"/>
    <w:rsid w:val="00730B0D"/>
    <w:rsid w:val="0073789C"/>
    <w:rsid w:val="007510BA"/>
    <w:rsid w:val="00766FCA"/>
    <w:rsid w:val="00770E0A"/>
    <w:rsid w:val="007B3FA8"/>
    <w:rsid w:val="007B4D08"/>
    <w:rsid w:val="007E1339"/>
    <w:rsid w:val="007E2CD6"/>
    <w:rsid w:val="007F48FF"/>
    <w:rsid w:val="00812F4D"/>
    <w:rsid w:val="008228D6"/>
    <w:rsid w:val="00827BFB"/>
    <w:rsid w:val="00836816"/>
    <w:rsid w:val="008444EE"/>
    <w:rsid w:val="00851999"/>
    <w:rsid w:val="00855085"/>
    <w:rsid w:val="00861B72"/>
    <w:rsid w:val="0087039D"/>
    <w:rsid w:val="0088089F"/>
    <w:rsid w:val="008867B0"/>
    <w:rsid w:val="008B4640"/>
    <w:rsid w:val="008B66F4"/>
    <w:rsid w:val="008C1BBC"/>
    <w:rsid w:val="008D3BD8"/>
    <w:rsid w:val="008D6A54"/>
    <w:rsid w:val="008E6F61"/>
    <w:rsid w:val="00903A46"/>
    <w:rsid w:val="00914C7F"/>
    <w:rsid w:val="00933E9A"/>
    <w:rsid w:val="00945EB4"/>
    <w:rsid w:val="00990E47"/>
    <w:rsid w:val="00995A8D"/>
    <w:rsid w:val="009A763A"/>
    <w:rsid w:val="009C6599"/>
    <w:rsid w:val="009D35B8"/>
    <w:rsid w:val="009D710B"/>
    <w:rsid w:val="009F7BE9"/>
    <w:rsid w:val="00A05C1E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6EFF"/>
    <w:rsid w:val="00A72E2D"/>
    <w:rsid w:val="00A8667D"/>
    <w:rsid w:val="00A87BCA"/>
    <w:rsid w:val="00AA3AFD"/>
    <w:rsid w:val="00AB3FAB"/>
    <w:rsid w:val="00AB6382"/>
    <w:rsid w:val="00AB73A7"/>
    <w:rsid w:val="00AE3B66"/>
    <w:rsid w:val="00AE535B"/>
    <w:rsid w:val="00AE7344"/>
    <w:rsid w:val="00AE7952"/>
    <w:rsid w:val="00AF68E0"/>
    <w:rsid w:val="00AF69A3"/>
    <w:rsid w:val="00B126FA"/>
    <w:rsid w:val="00B15143"/>
    <w:rsid w:val="00B23675"/>
    <w:rsid w:val="00B2729B"/>
    <w:rsid w:val="00B303B2"/>
    <w:rsid w:val="00B30C73"/>
    <w:rsid w:val="00B35324"/>
    <w:rsid w:val="00B35A17"/>
    <w:rsid w:val="00B55CC3"/>
    <w:rsid w:val="00B74AB2"/>
    <w:rsid w:val="00B807FA"/>
    <w:rsid w:val="00B83CFA"/>
    <w:rsid w:val="00B83D39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F272F"/>
    <w:rsid w:val="00BF65DB"/>
    <w:rsid w:val="00C020B8"/>
    <w:rsid w:val="00C15523"/>
    <w:rsid w:val="00C2676C"/>
    <w:rsid w:val="00C32B49"/>
    <w:rsid w:val="00C32D70"/>
    <w:rsid w:val="00C3573C"/>
    <w:rsid w:val="00C51B0F"/>
    <w:rsid w:val="00C54EED"/>
    <w:rsid w:val="00C65108"/>
    <w:rsid w:val="00C76178"/>
    <w:rsid w:val="00C93D80"/>
    <w:rsid w:val="00CA3A64"/>
    <w:rsid w:val="00CA576C"/>
    <w:rsid w:val="00CB02E0"/>
    <w:rsid w:val="00CB3040"/>
    <w:rsid w:val="00CD3A52"/>
    <w:rsid w:val="00CE0546"/>
    <w:rsid w:val="00CE23D5"/>
    <w:rsid w:val="00CE6E57"/>
    <w:rsid w:val="00CF5586"/>
    <w:rsid w:val="00D0776C"/>
    <w:rsid w:val="00D1349B"/>
    <w:rsid w:val="00D16507"/>
    <w:rsid w:val="00D17B31"/>
    <w:rsid w:val="00D17D8C"/>
    <w:rsid w:val="00D357B4"/>
    <w:rsid w:val="00D371C2"/>
    <w:rsid w:val="00D464FE"/>
    <w:rsid w:val="00D6024D"/>
    <w:rsid w:val="00D7179D"/>
    <w:rsid w:val="00D77A99"/>
    <w:rsid w:val="00D77E6D"/>
    <w:rsid w:val="00D807B6"/>
    <w:rsid w:val="00D8350C"/>
    <w:rsid w:val="00D8356E"/>
    <w:rsid w:val="00D948CD"/>
    <w:rsid w:val="00D95807"/>
    <w:rsid w:val="00D964E2"/>
    <w:rsid w:val="00DA2616"/>
    <w:rsid w:val="00DA36E6"/>
    <w:rsid w:val="00DC43EE"/>
    <w:rsid w:val="00DC5071"/>
    <w:rsid w:val="00DF1FC7"/>
    <w:rsid w:val="00DF1FDA"/>
    <w:rsid w:val="00DF59E1"/>
    <w:rsid w:val="00E02077"/>
    <w:rsid w:val="00E07A10"/>
    <w:rsid w:val="00E168B4"/>
    <w:rsid w:val="00E2379C"/>
    <w:rsid w:val="00E3160D"/>
    <w:rsid w:val="00E31794"/>
    <w:rsid w:val="00E3439D"/>
    <w:rsid w:val="00E3758B"/>
    <w:rsid w:val="00E4273C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111B"/>
    <w:rsid w:val="00EA570A"/>
    <w:rsid w:val="00EC46F9"/>
    <w:rsid w:val="00ED5C24"/>
    <w:rsid w:val="00EE2916"/>
    <w:rsid w:val="00EF5A15"/>
    <w:rsid w:val="00F10F86"/>
    <w:rsid w:val="00F23D61"/>
    <w:rsid w:val="00F34AC3"/>
    <w:rsid w:val="00F47871"/>
    <w:rsid w:val="00F53781"/>
    <w:rsid w:val="00F57856"/>
    <w:rsid w:val="00F60E38"/>
    <w:rsid w:val="00F62B0D"/>
    <w:rsid w:val="00F67FB1"/>
    <w:rsid w:val="00F72A67"/>
    <w:rsid w:val="00F738FA"/>
    <w:rsid w:val="00F74615"/>
    <w:rsid w:val="00FB3074"/>
    <w:rsid w:val="00FB77AC"/>
    <w:rsid w:val="00FC51B2"/>
    <w:rsid w:val="00FE3800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7546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549B-23C4-4F25-82DE-B6A06175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27</Pages>
  <Words>10841</Words>
  <Characters>61794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BLAGWork01</cp:lastModifiedBy>
  <cp:revision>35</cp:revision>
  <cp:lastPrinted>2021-12-24T07:38:00Z</cp:lastPrinted>
  <dcterms:created xsi:type="dcterms:W3CDTF">2021-04-12T09:57:00Z</dcterms:created>
  <dcterms:modified xsi:type="dcterms:W3CDTF">2021-12-30T06:32:00Z</dcterms:modified>
</cp:coreProperties>
</file>