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01.07.2024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258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02.07.2024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344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</w:t>
      </w:r>
      <w:bookmarkStart w:id="1" w:name="_GoBack"/>
      <w:bookmarkEnd w:id="1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го аукциона на право заключения договора аренды земельного участка»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4B5C01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4B5C01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:rsidR="009914D9" w:rsidRPr="001F2E96" w:rsidRDefault="009914D9" w:rsidP="009914D9">
      <w:pPr>
        <w:pStyle w:val="Default"/>
        <w:ind w:firstLine="708"/>
        <w:jc w:val="both"/>
      </w:pPr>
      <w:r w:rsidRPr="001F2E96">
        <w:rPr>
          <w:b/>
          <w:bCs/>
        </w:rPr>
        <w:t>7. Дата начала приема заявок на участие в аукционе в электронной форме</w:t>
      </w:r>
      <w:r w:rsidRPr="001F2E96">
        <w:t xml:space="preserve">: </w:t>
      </w:r>
      <w:r w:rsidR="005E05E7" w:rsidRPr="001F2E96">
        <w:t>06 июля 2024 года</w:t>
      </w:r>
      <w:r w:rsidRPr="001F2E96">
        <w:t xml:space="preserve"> в 00-0</w:t>
      </w:r>
      <w:r w:rsidR="001F2E96" w:rsidRPr="001F2E96">
        <w:t>1</w:t>
      </w:r>
      <w:r w:rsidRPr="001F2E96">
        <w:t xml:space="preserve"> час. </w:t>
      </w:r>
    </w:p>
    <w:p w:rsidR="009914D9" w:rsidRPr="001F2E96" w:rsidRDefault="009914D9" w:rsidP="009914D9">
      <w:pPr>
        <w:pStyle w:val="Default"/>
        <w:ind w:firstLine="708"/>
        <w:jc w:val="both"/>
      </w:pPr>
      <w:r w:rsidRPr="001F2E96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1F2E96" w:rsidRPr="001F2E96">
        <w:t>01 августа</w:t>
      </w:r>
      <w:r w:rsidRPr="001F2E96">
        <w:t xml:space="preserve"> 202</w:t>
      </w:r>
      <w:r w:rsidR="00790CF6" w:rsidRPr="001F2E96">
        <w:t>4</w:t>
      </w:r>
      <w:r w:rsidRPr="001F2E96">
        <w:t xml:space="preserve"> года в 23-59 час. </w:t>
      </w:r>
    </w:p>
    <w:p w:rsidR="009914D9" w:rsidRPr="001F2E96" w:rsidRDefault="009914D9" w:rsidP="009914D9">
      <w:pPr>
        <w:pStyle w:val="Default"/>
        <w:ind w:firstLine="708"/>
        <w:jc w:val="both"/>
      </w:pPr>
      <w:r w:rsidRPr="001F2E96">
        <w:rPr>
          <w:b/>
          <w:bCs/>
        </w:rPr>
        <w:t xml:space="preserve">9. Время приема заявок: </w:t>
      </w:r>
      <w:r w:rsidRPr="001F2E96">
        <w:t xml:space="preserve">круглосуточно по адресу https://178fz.roseltorg.ru. </w:t>
      </w:r>
    </w:p>
    <w:p w:rsidR="009914D9" w:rsidRPr="001F2E96" w:rsidRDefault="009914D9" w:rsidP="009914D9">
      <w:pPr>
        <w:pStyle w:val="Default"/>
        <w:ind w:firstLine="708"/>
        <w:jc w:val="both"/>
      </w:pPr>
      <w:r w:rsidRPr="001F2E96">
        <w:rPr>
          <w:b/>
          <w:bCs/>
        </w:rPr>
        <w:t xml:space="preserve">10. Дата определения участников аукциона в электронной форме: </w:t>
      </w:r>
      <w:r w:rsidR="001F2E96" w:rsidRPr="001F2E96">
        <w:t>05 августа</w:t>
      </w:r>
      <w:r w:rsidRPr="001F2E96">
        <w:t xml:space="preserve"> 202</w:t>
      </w:r>
      <w:r w:rsidR="00790CF6" w:rsidRPr="001F2E96">
        <w:t>4</w:t>
      </w:r>
      <w:r w:rsidRPr="001F2E96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1F2E96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1F2E96" w:rsidRPr="001F2E96">
        <w:t>07 августа</w:t>
      </w:r>
      <w:r w:rsidR="00764467" w:rsidRPr="001F2E96">
        <w:t xml:space="preserve"> </w:t>
      </w:r>
      <w:r w:rsidRPr="001F2E96">
        <w:t>202</w:t>
      </w:r>
      <w:r w:rsidR="00790CF6" w:rsidRPr="001F2E96">
        <w:t>4</w:t>
      </w:r>
      <w:r w:rsidRPr="001F2E96">
        <w:t xml:space="preserve"> года в 1</w:t>
      </w:r>
      <w:r w:rsidR="0042498C" w:rsidRPr="001F2E96">
        <w:t>0</w:t>
      </w:r>
      <w:r w:rsidRPr="001F2E96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4B5C01" w:rsidRPr="004B5C01" w:rsidRDefault="004B5C01" w:rsidP="004B5C01">
      <w:pPr>
        <w:ind w:firstLine="708"/>
        <w:jc w:val="both"/>
        <w:rPr>
          <w:sz w:val="24"/>
          <w:szCs w:val="24"/>
        </w:rPr>
      </w:pPr>
      <w:r w:rsidRPr="004B5C01">
        <w:rPr>
          <w:sz w:val="24"/>
          <w:szCs w:val="24"/>
          <w:lang w:eastAsia="en-US"/>
        </w:rPr>
        <w:t xml:space="preserve">Российская Федерация, </w:t>
      </w:r>
      <w:r w:rsidRPr="004B5C01">
        <w:rPr>
          <w:sz w:val="24"/>
          <w:szCs w:val="24"/>
        </w:rPr>
        <w:t>Ивановская область, Приволжский муниципальный район, Ингарское сельское поселение, д. Ширяиха, земельный участок 49, общей площадью 3723 кв.м., с кадастровым номером 37:13:031320:255, категория земель «земли населенных пунктов», разрешенное использование «для ведения личного подсобного хозяйства».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4B5C01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4B5C01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4B5C01" w:rsidRPr="004B5C01" w:rsidRDefault="00E76CBC" w:rsidP="004B5C01">
      <w:pPr>
        <w:ind w:firstLine="539"/>
        <w:jc w:val="both"/>
        <w:rPr>
          <w:sz w:val="24"/>
          <w:szCs w:val="24"/>
        </w:rPr>
      </w:pPr>
      <w:r w:rsidRPr="004B5C01">
        <w:rPr>
          <w:b/>
          <w:bCs/>
          <w:sz w:val="24"/>
          <w:szCs w:val="24"/>
        </w:rPr>
        <w:t xml:space="preserve">– </w:t>
      </w:r>
      <w:bookmarkStart w:id="2" w:name="_Hlk153796864"/>
      <w:r w:rsidR="004B5C01" w:rsidRPr="004B5C01">
        <w:rPr>
          <w:bCs/>
          <w:sz w:val="24"/>
          <w:szCs w:val="24"/>
          <w:shd w:val="clear" w:color="auto" w:fill="FFFFFF"/>
        </w:rPr>
        <w:t>3 996,27</w:t>
      </w:r>
      <w:r w:rsidR="004B5C01" w:rsidRPr="00275A5D">
        <w:rPr>
          <w:bCs/>
          <w:sz w:val="28"/>
          <w:szCs w:val="28"/>
          <w:shd w:val="clear" w:color="auto" w:fill="FFFFFF"/>
        </w:rPr>
        <w:t xml:space="preserve"> (три </w:t>
      </w:r>
      <w:r w:rsidR="004B5C01" w:rsidRPr="004B5C01">
        <w:rPr>
          <w:bCs/>
          <w:sz w:val="24"/>
          <w:szCs w:val="24"/>
          <w:shd w:val="clear" w:color="auto" w:fill="FFFFFF"/>
        </w:rPr>
        <w:t>тысячи девятьсот девяносто шесть) рублей 27 копеек.</w:t>
      </w:r>
      <w:r w:rsidR="004B5C01" w:rsidRPr="004B5C01">
        <w:rPr>
          <w:sz w:val="24"/>
          <w:szCs w:val="24"/>
        </w:rPr>
        <w:t xml:space="preserve"> </w:t>
      </w:r>
      <w:r w:rsidR="004B5C01" w:rsidRPr="004B5C01">
        <w:rPr>
          <w:bCs/>
          <w:sz w:val="24"/>
          <w:szCs w:val="24"/>
        </w:rPr>
        <w:t xml:space="preserve">Кадастровая стоимость составляет </w:t>
      </w:r>
      <w:r w:rsidR="004B5C01" w:rsidRPr="004B5C01">
        <w:rPr>
          <w:sz w:val="24"/>
          <w:szCs w:val="24"/>
        </w:rPr>
        <w:t>266 417,88 (двести шестьдесят шесть тысяч четыреста семнадцать) рублей 88 копеек.</w:t>
      </w:r>
    </w:p>
    <w:bookmarkEnd w:id="2"/>
    <w:p w:rsidR="00C8173F" w:rsidRPr="005E05E7" w:rsidRDefault="009C4EDE" w:rsidP="004B5C01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 w:rsidRPr="005E05E7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911152" w:rsidRPr="005E05E7">
        <w:rPr>
          <w:color w:val="000000"/>
          <w:sz w:val="24"/>
          <w:szCs w:val="24"/>
          <w:lang w:eastAsia="en-US"/>
        </w:rPr>
        <w:t>799,25 (семьсот девяносто девять) рублей 25 копеек.</w:t>
      </w:r>
    </w:p>
    <w:p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5E05E7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  <w:r w:rsidR="005E05E7" w:rsidRPr="005E05E7">
        <w:rPr>
          <w:color w:val="000000"/>
          <w:sz w:val="24"/>
          <w:szCs w:val="24"/>
          <w:lang w:eastAsia="en-US"/>
        </w:rPr>
        <w:t>119,89 (сто девятнадцать рублей) 89 копеек.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</w:t>
      </w:r>
      <w:r w:rsidRPr="00F03E0C">
        <w:lastRenderedPageBreak/>
        <w:t>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Размер платы с Участника аукциона— победителя составляет 1 (один) процент от начальной цены договора, но не более </w:t>
      </w:r>
      <w:r w:rsidR="004B5C01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000 (</w:t>
      </w:r>
      <w:r w:rsidR="004B5C01">
        <w:rPr>
          <w:rFonts w:eastAsiaTheme="minorHAnsi"/>
          <w:color w:val="000000"/>
          <w:sz w:val="24"/>
          <w:szCs w:val="24"/>
          <w:lang w:eastAsia="en-US"/>
        </w:rPr>
        <w:t>шести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тысяч) рублей 00 копеек, без учёта НДС.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</w:t>
      </w:r>
      <w:r w:rsidR="005A12D1" w:rsidRPr="005A12D1">
        <w:rPr>
          <w:bCs/>
        </w:rPr>
        <w:lastRenderedPageBreak/>
        <w:t xml:space="preserve">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</w:t>
      </w:r>
      <w:r w:rsidR="004B5C01">
        <w:rPr>
          <w:color w:val="auto"/>
        </w:rPr>
        <w:t xml:space="preserve"> </w:t>
      </w:r>
      <w:r w:rsidR="004B5C01">
        <w:rPr>
          <w:color w:val="auto"/>
        </w:rPr>
        <w:t xml:space="preserve">Организатором </w:t>
      </w:r>
      <w:r w:rsidR="004B5C01" w:rsidRPr="00AC368A">
        <w:rPr>
          <w:color w:val="auto"/>
        </w:rPr>
        <w:t>и победителем аукциона</w:t>
      </w:r>
      <w:r w:rsidRPr="00AC368A">
        <w:rPr>
          <w:color w:val="auto"/>
        </w:rPr>
        <w:t xml:space="preserve"> заключается </w:t>
      </w:r>
      <w:r w:rsidR="004B5C01">
        <w:rPr>
          <w:color w:val="auto"/>
        </w:rPr>
        <w:t>на электронной площадке</w:t>
      </w:r>
      <w:r w:rsidRPr="00AC368A">
        <w:rPr>
          <w:color w:val="auto"/>
        </w:rPr>
        <w:t xml:space="preserve">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04333013270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24620416</w:t>
      </w:r>
      <w:r w:rsidR="005E51F8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КБК: 3</w:t>
      </w:r>
      <w:r w:rsidR="00B3306D">
        <w:rPr>
          <w:sz w:val="24"/>
          <w:szCs w:val="24"/>
        </w:rPr>
        <w:t>0</w:t>
      </w:r>
      <w:r w:rsidR="005E51F8" w:rsidRPr="00C31D8C">
        <w:rPr>
          <w:sz w:val="24"/>
          <w:szCs w:val="24"/>
        </w:rPr>
        <w:t>311105013</w:t>
      </w:r>
      <w:r w:rsidR="00B3306D">
        <w:rPr>
          <w:sz w:val="24"/>
          <w:szCs w:val="24"/>
        </w:rPr>
        <w:t>05</w:t>
      </w:r>
      <w:r w:rsidR="00E271CC">
        <w:rPr>
          <w:sz w:val="24"/>
          <w:szCs w:val="24"/>
        </w:rPr>
        <w:t>0000120</w:t>
      </w:r>
      <w:r w:rsidR="005E51F8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82164C">
        <w:rPr>
          <w:sz w:val="24"/>
          <w:szCs w:val="24"/>
        </w:rPr>
        <w:t>сельских</w:t>
      </w:r>
      <w:r w:rsidR="005E51F8" w:rsidRPr="00C31D8C">
        <w:rPr>
          <w:sz w:val="24"/>
          <w:szCs w:val="24"/>
        </w:rPr>
        <w:t xml:space="preserve"> поселений</w:t>
      </w:r>
      <w:r w:rsidR="0082164C">
        <w:rPr>
          <w:sz w:val="24"/>
          <w:szCs w:val="24"/>
        </w:rPr>
        <w:t xml:space="preserve"> и межселенных территорий муниципальных районов</w:t>
      </w:r>
      <w:r w:rsidR="005E51F8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4B5C01" w:rsidRPr="004B5C01" w:rsidRDefault="004B5C01" w:rsidP="004B5C01">
      <w:pPr>
        <w:ind w:firstLine="708"/>
        <w:jc w:val="both"/>
        <w:rPr>
          <w:b/>
          <w:i/>
          <w:sz w:val="24"/>
          <w:szCs w:val="24"/>
          <w:u w:val="single"/>
        </w:rPr>
      </w:pPr>
      <w:r w:rsidRPr="004B5C01">
        <w:rPr>
          <w:b/>
          <w:i/>
          <w:sz w:val="24"/>
          <w:szCs w:val="24"/>
          <w:u w:val="single"/>
          <w:lang w:eastAsia="en-US"/>
        </w:rPr>
        <w:t xml:space="preserve">Российская Федерация, </w:t>
      </w:r>
      <w:r w:rsidRPr="004B5C01">
        <w:rPr>
          <w:b/>
          <w:i/>
          <w:sz w:val="24"/>
          <w:szCs w:val="24"/>
          <w:u w:val="single"/>
        </w:rPr>
        <w:t>Ивановская область, Приволжский муниципальный район, Ингарское сельское поселение, д. Ширяиха, земельный участок 49, общей площадью 3723 кв.м., с кадастровым номером 37:13:031320:255, категория земель «земли населенных пунктов», разрешенное использование «для ведения личного подсобного хозяйства».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4B5C01" w:rsidRDefault="00695C7F" w:rsidP="004B5C01">
      <w:pPr>
        <w:ind w:firstLine="708"/>
        <w:jc w:val="both"/>
        <w:rPr>
          <w:sz w:val="24"/>
          <w:szCs w:val="24"/>
        </w:rPr>
      </w:pPr>
      <w:bookmarkStart w:id="13" w:name="_Hlk116544863"/>
      <w:r w:rsidRPr="00692C25">
        <w:rPr>
          <w:sz w:val="24"/>
          <w:szCs w:val="24"/>
        </w:rPr>
        <w:t xml:space="preserve">1.1. </w:t>
      </w:r>
      <w:r w:rsidRPr="004B5C01">
        <w:rPr>
          <w:sz w:val="24"/>
          <w:szCs w:val="24"/>
        </w:rPr>
        <w:t>Арендатор</w:t>
      </w:r>
      <w:r w:rsidRPr="004B5C01">
        <w:rPr>
          <w:i/>
          <w:sz w:val="24"/>
          <w:szCs w:val="24"/>
        </w:rPr>
        <w:t xml:space="preserve"> </w:t>
      </w:r>
      <w:r w:rsidRPr="004B5C01">
        <w:rPr>
          <w:sz w:val="24"/>
          <w:szCs w:val="24"/>
        </w:rPr>
        <w:t xml:space="preserve">принимает в аренду земельный участок </w:t>
      </w:r>
      <w:r w:rsidR="00E76CBC" w:rsidRPr="004B5C01">
        <w:rPr>
          <w:sz w:val="24"/>
          <w:szCs w:val="24"/>
        </w:rPr>
        <w:t xml:space="preserve">расположенный по адресу: </w:t>
      </w:r>
      <w:r w:rsidR="004B5C01" w:rsidRPr="004B5C01">
        <w:rPr>
          <w:sz w:val="24"/>
          <w:szCs w:val="24"/>
          <w:lang w:eastAsia="en-US"/>
        </w:rPr>
        <w:t xml:space="preserve">Российская Федерация, </w:t>
      </w:r>
      <w:r w:rsidR="004B5C01" w:rsidRPr="004B5C01">
        <w:rPr>
          <w:sz w:val="24"/>
          <w:szCs w:val="24"/>
        </w:rPr>
        <w:t>Ивановская область, Приволжский муниципальный район, Ингарское сельское поселение, д. Ширяиха, земельный участок 49, общей площадью 3723 кв.м., с кадастровым номером 37:13:031320:255, категория земель «земли населенных пунктов», разрешенное использование «для ведения личного подсобного хозяйства»</w:t>
      </w:r>
      <w:r w:rsidR="004B5C01" w:rsidRPr="004B5C01">
        <w:rPr>
          <w:sz w:val="24"/>
          <w:szCs w:val="24"/>
        </w:rPr>
        <w:t xml:space="preserve"> </w:t>
      </w:r>
      <w:r w:rsidRPr="004B5C01">
        <w:rPr>
          <w:sz w:val="24"/>
          <w:szCs w:val="24"/>
        </w:rPr>
        <w:t>(далее - Участок)</w:t>
      </w:r>
      <w:r w:rsidR="00E76CBC" w:rsidRPr="004B5C01">
        <w:rPr>
          <w:sz w:val="24"/>
          <w:szCs w:val="24"/>
        </w:rPr>
        <w:t>.</w:t>
      </w:r>
    </w:p>
    <w:bookmarkEnd w:id="13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E76CBC">
        <w:rPr>
          <w:sz w:val="24"/>
          <w:szCs w:val="24"/>
        </w:rPr>
        <w:t>20 (двадцать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1D77D3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1D77D3" w:rsidRPr="00C31D8C">
        <w:rPr>
          <w:sz w:val="24"/>
          <w:szCs w:val="24"/>
        </w:rPr>
        <w:t>сч</w:t>
      </w:r>
      <w:proofErr w:type="spellEnd"/>
      <w:r w:rsidR="001D77D3" w:rsidRPr="00C31D8C">
        <w:rPr>
          <w:sz w:val="24"/>
          <w:szCs w:val="24"/>
        </w:rPr>
        <w:t xml:space="preserve"> </w:t>
      </w:r>
      <w:r w:rsidR="001D77D3">
        <w:rPr>
          <w:sz w:val="24"/>
          <w:szCs w:val="24"/>
        </w:rPr>
        <w:t>04333013270</w:t>
      </w:r>
      <w:r w:rsidR="001D77D3" w:rsidRPr="00C31D8C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 xml:space="preserve">ИНН 3719001961, КПП 371901001, код ОКТМО </w:t>
      </w:r>
      <w:r w:rsidR="001D77D3">
        <w:rPr>
          <w:sz w:val="24"/>
          <w:szCs w:val="24"/>
        </w:rPr>
        <w:t>24620416</w:t>
      </w:r>
      <w:r w:rsidR="001D77D3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КБК: 3</w:t>
      </w:r>
      <w:r w:rsidR="001D77D3">
        <w:rPr>
          <w:sz w:val="24"/>
          <w:szCs w:val="24"/>
        </w:rPr>
        <w:t>0</w:t>
      </w:r>
      <w:r w:rsidR="001D77D3" w:rsidRPr="00C31D8C">
        <w:rPr>
          <w:sz w:val="24"/>
          <w:szCs w:val="24"/>
        </w:rPr>
        <w:t>311105013</w:t>
      </w:r>
      <w:r w:rsidR="001D77D3">
        <w:rPr>
          <w:sz w:val="24"/>
          <w:szCs w:val="24"/>
        </w:rPr>
        <w:t>050000120</w:t>
      </w:r>
      <w:r w:rsidR="001D77D3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1D77D3">
        <w:rPr>
          <w:sz w:val="24"/>
          <w:szCs w:val="24"/>
        </w:rPr>
        <w:t>сельских</w:t>
      </w:r>
      <w:r w:rsidR="001D77D3" w:rsidRPr="00C31D8C">
        <w:rPr>
          <w:sz w:val="24"/>
          <w:szCs w:val="24"/>
        </w:rPr>
        <w:t xml:space="preserve"> поселений</w:t>
      </w:r>
      <w:r w:rsidR="001D77D3">
        <w:rPr>
          <w:sz w:val="24"/>
          <w:szCs w:val="24"/>
        </w:rPr>
        <w:t xml:space="preserve"> и межселенных территорий муниципальных районов</w:t>
      </w:r>
      <w:r w:rsidR="001D77D3" w:rsidRPr="00C31D8C">
        <w:rPr>
          <w:sz w:val="24"/>
          <w:szCs w:val="24"/>
        </w:rPr>
        <w:t xml:space="preserve">, а также средства от продажи права на </w:t>
      </w:r>
      <w:r w:rsidR="001D77D3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bookmarkEnd w:id="14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695C7F" w:rsidRPr="00B145A5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</w:t>
      </w:r>
      <w:r w:rsidR="00911152">
        <w:rPr>
          <w:sz w:val="24"/>
          <w:szCs w:val="24"/>
        </w:rPr>
        <w:t>подписан в электронной форме</w:t>
      </w:r>
      <w:r>
        <w:rPr>
          <w:sz w:val="24"/>
          <w:szCs w:val="24"/>
        </w:rPr>
        <w:t>.</w:t>
      </w:r>
    </w:p>
    <w:p w:rsidR="00695C7F" w:rsidRPr="00DB4126" w:rsidRDefault="00695C7F" w:rsidP="00695C7F">
      <w:pPr>
        <w:pStyle w:val="a9"/>
        <w:spacing w:after="0"/>
        <w:ind w:right="15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911152" w:rsidRDefault="00911152" w:rsidP="00695C7F">
      <w:pPr>
        <w:jc w:val="right"/>
        <w:rPr>
          <w:sz w:val="24"/>
          <w:szCs w:val="24"/>
        </w:rPr>
      </w:pPr>
    </w:p>
    <w:p w:rsidR="00911152" w:rsidRDefault="00911152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4B5C01" w:rsidRDefault="00695C7F" w:rsidP="004B5C01">
      <w:pPr>
        <w:ind w:firstLine="708"/>
        <w:jc w:val="both"/>
        <w:rPr>
          <w:sz w:val="28"/>
          <w:szCs w:val="28"/>
        </w:rPr>
      </w:pPr>
      <w:bookmarkStart w:id="18" w:name="_Hlk116544892"/>
      <w:r w:rsidRPr="00E76CBC">
        <w:rPr>
          <w:sz w:val="24"/>
          <w:szCs w:val="24"/>
        </w:rPr>
        <w:t>земельный участок</w:t>
      </w:r>
      <w:r w:rsidR="00E76CBC" w:rsidRPr="00E76CBC">
        <w:rPr>
          <w:sz w:val="24"/>
          <w:szCs w:val="24"/>
        </w:rPr>
        <w:t xml:space="preserve">, расположенный по </w:t>
      </w:r>
      <w:r w:rsidR="00E76CBC" w:rsidRPr="004B5C01">
        <w:rPr>
          <w:sz w:val="24"/>
          <w:szCs w:val="24"/>
        </w:rPr>
        <w:t>адресу:</w:t>
      </w:r>
      <w:r w:rsidRPr="004B5C01">
        <w:rPr>
          <w:sz w:val="24"/>
          <w:szCs w:val="24"/>
        </w:rPr>
        <w:t xml:space="preserve"> </w:t>
      </w:r>
      <w:r w:rsidR="004B5C01" w:rsidRPr="004B5C01">
        <w:rPr>
          <w:sz w:val="24"/>
          <w:szCs w:val="24"/>
          <w:lang w:eastAsia="en-US"/>
        </w:rPr>
        <w:t xml:space="preserve">Российская Федерация, </w:t>
      </w:r>
      <w:r w:rsidR="004B5C01" w:rsidRPr="004B5C01">
        <w:rPr>
          <w:sz w:val="24"/>
          <w:szCs w:val="24"/>
        </w:rPr>
        <w:t>Ивановская область, Приволжский муниципальный район, Ингарское сельское поселение, д. Ширяиха, земельный участок 49, общей площадью 3723 кв.м., с кадастровым номером 37:13:031320:255, категория земель «земли населенных пунктов», разрешенное использование «для ведения личного подсобного хозяйства»</w:t>
      </w:r>
      <w:r w:rsidRPr="004B5C01">
        <w:rPr>
          <w:sz w:val="24"/>
          <w:szCs w:val="24"/>
        </w:rPr>
        <w:t>, в</w:t>
      </w:r>
      <w:r w:rsidRPr="00E76CBC">
        <w:rPr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18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911152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AC" w:rsidRDefault="00C62CAC" w:rsidP="00695C7F">
      <w:r>
        <w:separator/>
      </w:r>
    </w:p>
  </w:endnote>
  <w:endnote w:type="continuationSeparator" w:id="0">
    <w:p w:rsidR="00C62CAC" w:rsidRDefault="00C62CAC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AC" w:rsidRDefault="00C62CAC" w:rsidP="00695C7F">
      <w:r>
        <w:separator/>
      </w:r>
    </w:p>
  </w:footnote>
  <w:footnote w:type="continuationSeparator" w:id="0">
    <w:p w:rsidR="00C62CAC" w:rsidRDefault="00C62CAC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2E96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B5C01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05E7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11152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2CAC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6C2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4B5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14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104</cp:revision>
  <cp:lastPrinted>2022-07-28T07:43:00Z</cp:lastPrinted>
  <dcterms:created xsi:type="dcterms:W3CDTF">2019-10-29T07:32:00Z</dcterms:created>
  <dcterms:modified xsi:type="dcterms:W3CDTF">2024-07-02T06:58:00Z</dcterms:modified>
</cp:coreProperties>
</file>